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AA7D" w14:textId="65BA0FB9" w:rsidR="00562518" w:rsidRDefault="000B00E1" w:rsidP="00B90A54">
      <w:pPr>
        <w:pStyle w:val="Pagedecouverture"/>
      </w:pPr>
      <w:bookmarkStart w:id="0" w:name="_GoBack"/>
      <w:bookmarkEnd w:id="0"/>
      <w:r>
        <w:pict w14:anchorId="5F156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110BC6-4F8C-44BB-9A8E-DB5AA87D3A28" style="width:450.6pt;height:409.2pt">
            <v:imagedata r:id="rId8" o:title=""/>
          </v:shape>
        </w:pict>
      </w:r>
    </w:p>
    <w:p w14:paraId="7A8C4557" w14:textId="77777777" w:rsidR="0019272C" w:rsidRPr="00A01AA1" w:rsidRDefault="0019272C" w:rsidP="00562518">
      <w:pPr>
        <w:sectPr w:rsidR="0019272C" w:rsidRPr="00A01AA1" w:rsidSect="0043456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14:paraId="724D02D4" w14:textId="6C89578E" w:rsidR="0019272C" w:rsidRPr="00A01AA1" w:rsidRDefault="00B90A54" w:rsidP="00B90A54">
      <w:pPr>
        <w:pStyle w:val="Typedudocument"/>
      </w:pPr>
      <w:r w:rsidRPr="00B90A54">
        <w:lastRenderedPageBreak/>
        <w:t>COMMISSION REGULATION (EU) …/…</w:t>
      </w:r>
    </w:p>
    <w:p w14:paraId="0F727255" w14:textId="45F72E2E" w:rsidR="0019272C" w:rsidRPr="00A01AA1" w:rsidRDefault="00B90A54" w:rsidP="00B90A54">
      <w:pPr>
        <w:pStyle w:val="Datedadoption"/>
      </w:pPr>
      <w:r w:rsidRPr="00B90A54">
        <w:t xml:space="preserve">of </w:t>
      </w:r>
      <w:r w:rsidRPr="00B90A54">
        <w:rPr>
          <w:rStyle w:val="Marker2"/>
        </w:rPr>
        <w:t>XXX</w:t>
      </w:r>
    </w:p>
    <w:p w14:paraId="3498EF56" w14:textId="1B4950E4" w:rsidR="0019272C" w:rsidRPr="00A01AA1" w:rsidRDefault="00B90A54" w:rsidP="00B90A54">
      <w:pPr>
        <w:pStyle w:val="Titreobjet"/>
      </w:pPr>
      <w:r w:rsidRPr="00B90A54">
        <w:t>amending Annex XVII to Regulation (EC) No 1907/2006 of the European Parliament and of the Council concerning the Registration, Evaluation, Authorisation and Restriction of Chemicals (REACH) as regards lead in gunshot in or around wetlands</w:t>
      </w:r>
    </w:p>
    <w:p w14:paraId="6A228284" w14:textId="3008B199" w:rsidR="0019272C" w:rsidRPr="0019272C" w:rsidRDefault="00B90A54" w:rsidP="00B90A54">
      <w:pPr>
        <w:pStyle w:val="IntrtEEE"/>
      </w:pPr>
      <w:r w:rsidRPr="00B90A54">
        <w:t>(Text with EEA relevance)</w:t>
      </w:r>
    </w:p>
    <w:p w14:paraId="48F5FEB5" w14:textId="77777777" w:rsidR="0019272C" w:rsidRPr="00A01AA1" w:rsidRDefault="0019272C" w:rsidP="00562518">
      <w:pPr>
        <w:pStyle w:val="Institutionquiagit"/>
      </w:pPr>
      <w:r w:rsidRPr="00A01AA1">
        <w:t>THE EUROPEAN COMMISSION,</w:t>
      </w:r>
    </w:p>
    <w:p w14:paraId="20395028" w14:textId="77777777" w:rsidR="0019272C" w:rsidRPr="0019272C" w:rsidRDefault="0019272C" w:rsidP="0019272C">
      <w:r w:rsidRPr="0019272C">
        <w:t>Having regard to the Treaty on the Functioning of the European Union,</w:t>
      </w:r>
    </w:p>
    <w:p w14:paraId="51C4BF4F" w14:textId="77777777" w:rsidR="0019272C" w:rsidRPr="0019272C" w:rsidRDefault="0019272C" w:rsidP="0019272C">
      <w:r w:rsidRPr="0019272C">
        <w:t xml:space="preserve">Having regard to </w:t>
      </w:r>
      <w:r w:rsidRPr="0019272C">
        <w:rPr>
          <w:bCs/>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820F64">
        <w:rPr>
          <w:rStyle w:val="FootnoteReference"/>
        </w:rPr>
        <w:footnoteReference w:id="2"/>
      </w:r>
      <w:r w:rsidRPr="0019272C">
        <w:rPr>
          <w:bCs/>
        </w:rPr>
        <w:t>,</w:t>
      </w:r>
      <w:r w:rsidRPr="0019272C">
        <w:t xml:space="preserve"> and in particular Article 68(1) thereof,</w:t>
      </w:r>
    </w:p>
    <w:p w14:paraId="03EC1D0F" w14:textId="77777777" w:rsidR="00646217" w:rsidRPr="00EF3C2D" w:rsidRDefault="0019272C" w:rsidP="00646217">
      <w:r w:rsidRPr="00EF3C2D">
        <w:t>Whereas</w:t>
      </w:r>
      <w:r w:rsidR="00060E55">
        <w:rPr>
          <w:color w:val="000000"/>
        </w:rPr>
        <w:t>:</w:t>
      </w:r>
    </w:p>
    <w:p w14:paraId="14237662" w14:textId="77777777" w:rsidR="009E4011" w:rsidRDefault="009E4011" w:rsidP="00054690">
      <w:pPr>
        <w:pStyle w:val="Considrant"/>
        <w:numPr>
          <w:ilvl w:val="0"/>
          <w:numId w:val="9"/>
        </w:numPr>
      </w:pPr>
      <w:r>
        <w:t xml:space="preserve">Annex XVII to Regulation (EC) No 1907/2006 lays down restrictions on the manufacture, placing on the market and use of certain dangerous substances, mixtures and articles. </w:t>
      </w:r>
      <w:r w:rsidR="00756868">
        <w:t xml:space="preserve">Entry 63 of that Annex contains restrictions with respect to lead (CAS </w:t>
      </w:r>
      <w:r w:rsidR="00756868" w:rsidRPr="007F7052">
        <w:t xml:space="preserve">No 7439-92-1, EC No 231-100-4) and </w:t>
      </w:r>
      <w:r w:rsidR="00B5572B">
        <w:t>lead</w:t>
      </w:r>
      <w:r w:rsidR="008D6EC8">
        <w:t xml:space="preserve"> </w:t>
      </w:r>
      <w:r w:rsidR="00756868" w:rsidRPr="007F7052">
        <w:t>compounds.</w:t>
      </w:r>
    </w:p>
    <w:p w14:paraId="2F814E57" w14:textId="51DD2D3A" w:rsidR="008235B5" w:rsidRPr="00B57013" w:rsidRDefault="008235B5" w:rsidP="008235B5">
      <w:pPr>
        <w:pStyle w:val="Considrant"/>
        <w:numPr>
          <w:ilvl w:val="0"/>
          <w:numId w:val="9"/>
        </w:numPr>
      </w:pPr>
      <w:r w:rsidRPr="00B57013">
        <w:t>T</w:t>
      </w:r>
      <w:r>
        <w:t xml:space="preserve">he </w:t>
      </w:r>
      <w:r w:rsidRPr="00B57013">
        <w:t>U</w:t>
      </w:r>
      <w:r>
        <w:t>nion</w:t>
      </w:r>
      <w:r w:rsidRPr="00B57013">
        <w:t xml:space="preserve"> </w:t>
      </w:r>
      <w:r>
        <w:t>and 23 Member States are Contracting Parties to the Agreement on the C</w:t>
      </w:r>
      <w:r w:rsidRPr="00B57013">
        <w:t>onservation of African-Eurasi</w:t>
      </w:r>
      <w:r>
        <w:t>an Migratory Waterbirds</w:t>
      </w:r>
      <w:r w:rsidR="000C68A7">
        <w:rPr>
          <w:rStyle w:val="FootnoteReference"/>
        </w:rPr>
        <w:footnoteReference w:id="3"/>
      </w:r>
      <w:r>
        <w:t xml:space="preserve"> (AEWA). </w:t>
      </w:r>
      <w:r>
        <w:rPr>
          <w:color w:val="000000"/>
        </w:rPr>
        <w:t>Contracting Parties are required under paragraph 4.1.4 of the Action Plan annexed to AEWA to endeavour to phase out the use of lead shot for hunting in wetlands as soon as possible in accordance with self-imposed and published timetables.</w:t>
      </w:r>
    </w:p>
    <w:p w14:paraId="0EA7370D" w14:textId="44972531" w:rsidR="00A83E4B" w:rsidRDefault="00A83E4B" w:rsidP="00A83E4B">
      <w:pPr>
        <w:pStyle w:val="Considrant"/>
        <w:numPr>
          <w:ilvl w:val="0"/>
          <w:numId w:val="9"/>
        </w:numPr>
      </w:pPr>
      <w:r>
        <w:t>Article 4(2) of Directive 2009/147/EC</w:t>
      </w:r>
      <w:r w:rsidR="00473AF3">
        <w:t xml:space="preserve"> of the European Parliament and of the Council</w:t>
      </w:r>
      <w:r w:rsidR="000C68A7">
        <w:rPr>
          <w:rStyle w:val="FootnoteReference"/>
        </w:rPr>
        <w:footnoteReference w:id="4"/>
      </w:r>
      <w:r w:rsidR="000C68A7">
        <w:t xml:space="preserve"> </w:t>
      </w:r>
      <w:r>
        <w:t xml:space="preserve">requires </w:t>
      </w:r>
      <w:r w:rsidRPr="00F64FEA">
        <w:t xml:space="preserve">Member States </w:t>
      </w:r>
      <w:r>
        <w:t xml:space="preserve">to </w:t>
      </w:r>
      <w:r w:rsidRPr="00F64FEA">
        <w:t>pay particular attention to the protection of wetlands</w:t>
      </w:r>
      <w:r w:rsidR="00473AF3">
        <w:t>,</w:t>
      </w:r>
      <w:r w:rsidRPr="00F64FEA">
        <w:t xml:space="preserve"> and particularly to wetlands of international importance</w:t>
      </w:r>
      <w:r w:rsidR="00473AF3">
        <w:t>, in the taking of conservation measures</w:t>
      </w:r>
      <w:r>
        <w:t xml:space="preserve"> with regard to regularly occurring migratory species</w:t>
      </w:r>
      <w:r w:rsidRPr="00F64FEA">
        <w:t>.</w:t>
      </w:r>
    </w:p>
    <w:p w14:paraId="3FF7A03A" w14:textId="77777777" w:rsidR="00A91509" w:rsidRPr="007429DD" w:rsidRDefault="001752FD" w:rsidP="00314783">
      <w:pPr>
        <w:pStyle w:val="Considrant"/>
      </w:pPr>
      <w:r w:rsidRPr="009577E5">
        <w:t xml:space="preserve">On </w:t>
      </w:r>
      <w:r w:rsidR="00A91509">
        <w:t>3</w:t>
      </w:r>
      <w:r w:rsidR="00D7498C">
        <w:t xml:space="preserve"> </w:t>
      </w:r>
      <w:r w:rsidR="00A91509">
        <w:t>December</w:t>
      </w:r>
      <w:r w:rsidR="00D7498C">
        <w:t xml:space="preserve"> 201</w:t>
      </w:r>
      <w:r w:rsidR="00A91509">
        <w:t>5</w:t>
      </w:r>
      <w:r w:rsidRPr="009577E5">
        <w:t xml:space="preserve">, </w:t>
      </w:r>
      <w:r w:rsidR="00705249">
        <w:t>t</w:t>
      </w:r>
      <w:r w:rsidR="00D7498C">
        <w:t xml:space="preserve">he </w:t>
      </w:r>
      <w:r w:rsidR="00A91509">
        <w:t xml:space="preserve">Commission </w:t>
      </w:r>
      <w:r w:rsidR="00EA16E6">
        <w:t xml:space="preserve">asked </w:t>
      </w:r>
      <w:r w:rsidR="00471233" w:rsidRPr="00B10DFC">
        <w:t>the</w:t>
      </w:r>
      <w:r w:rsidR="005A6CFD">
        <w:t xml:space="preserve"> </w:t>
      </w:r>
      <w:r w:rsidR="005A6CFD" w:rsidRPr="005A6CFD">
        <w:t>European Chemicals Agency (‘the Agency’)</w:t>
      </w:r>
      <w:r w:rsidR="005A6CFD">
        <w:t xml:space="preserve"> </w:t>
      </w:r>
      <w:r w:rsidR="00EA16E6">
        <w:t xml:space="preserve">pursuant to </w:t>
      </w:r>
      <w:r w:rsidR="0086510B">
        <w:t xml:space="preserve">Article </w:t>
      </w:r>
      <w:r w:rsidR="00A91509">
        <w:t>69(1</w:t>
      </w:r>
      <w:r w:rsidR="0086510B" w:rsidRPr="0019272C">
        <w:t>) of Regulation (EC) No 1907/2006</w:t>
      </w:r>
      <w:r w:rsidR="003A00D9">
        <w:t xml:space="preserve"> </w:t>
      </w:r>
      <w:r w:rsidR="00EA16E6">
        <w:t xml:space="preserve">to prepare a dossier </w:t>
      </w:r>
      <w:r w:rsidR="00A91509">
        <w:t xml:space="preserve">with a view to </w:t>
      </w:r>
      <w:r w:rsidR="00EA16E6">
        <w:t xml:space="preserve">extending the </w:t>
      </w:r>
      <w:r w:rsidR="00A91509">
        <w:t xml:space="preserve">restriction </w:t>
      </w:r>
      <w:r w:rsidR="00EA16E6">
        <w:t xml:space="preserve">on lead and lead compounds </w:t>
      </w:r>
      <w:r w:rsidR="0090624B">
        <w:t xml:space="preserve">in Annex XVII to that Regulation </w:t>
      </w:r>
      <w:r w:rsidR="003B11B2">
        <w:t xml:space="preserve">in order to </w:t>
      </w:r>
      <w:r w:rsidR="00A91509">
        <w:t xml:space="preserve">control the risk to the environment and </w:t>
      </w:r>
      <w:r w:rsidR="00A91509" w:rsidRPr="007429DD">
        <w:t xml:space="preserve">human health </w:t>
      </w:r>
      <w:r w:rsidR="00EA16E6">
        <w:t xml:space="preserve">posed by </w:t>
      </w:r>
      <w:r w:rsidR="00A91509" w:rsidRPr="007429DD">
        <w:t xml:space="preserve">the use of lead </w:t>
      </w:r>
      <w:r w:rsidR="00EA16E6">
        <w:t xml:space="preserve">or lead compounds </w:t>
      </w:r>
      <w:r w:rsidR="00A91509" w:rsidRPr="007429DD">
        <w:t xml:space="preserve">in </w:t>
      </w:r>
      <w:r w:rsidR="003D003D">
        <w:t>gun</w:t>
      </w:r>
      <w:r w:rsidR="00A91509" w:rsidRPr="007429DD">
        <w:t xml:space="preserve">shot </w:t>
      </w:r>
      <w:r w:rsidR="00354069">
        <w:t xml:space="preserve">used for shooting </w:t>
      </w:r>
      <w:r w:rsidR="00A91509" w:rsidRPr="007429DD">
        <w:t>in wetlands</w:t>
      </w:r>
      <w:r w:rsidR="00EA16E6">
        <w:t xml:space="preserve"> (‘the Annex XV dossier’)</w:t>
      </w:r>
      <w:r w:rsidR="00A91509" w:rsidRPr="007429DD">
        <w:t>.</w:t>
      </w:r>
      <w:r w:rsidR="00E43A22">
        <w:t xml:space="preserve">  At the same time, the Commission </w:t>
      </w:r>
      <w:r w:rsidR="0090624B">
        <w:t xml:space="preserve">also </w:t>
      </w:r>
      <w:r w:rsidR="00E43A22">
        <w:t xml:space="preserve">asked the </w:t>
      </w:r>
      <w:r w:rsidR="00E43A22">
        <w:lastRenderedPageBreak/>
        <w:t xml:space="preserve">Agency to start collecting information </w:t>
      </w:r>
      <w:r w:rsidR="00B84AFB">
        <w:t>on</w:t>
      </w:r>
      <w:r w:rsidR="00E43A22">
        <w:t xml:space="preserve"> other uses of lead ammunition, including hunting in terrains </w:t>
      </w:r>
      <w:r w:rsidR="0090624B">
        <w:t xml:space="preserve">other </w:t>
      </w:r>
      <w:r w:rsidR="00E43A22">
        <w:t xml:space="preserve">than wetlands and target shooting, </w:t>
      </w:r>
      <w:r w:rsidR="0090624B">
        <w:t xml:space="preserve">and </w:t>
      </w:r>
      <w:r w:rsidR="00B84AFB">
        <w:t xml:space="preserve">on </w:t>
      </w:r>
      <w:r w:rsidR="0090624B">
        <w:t xml:space="preserve">the </w:t>
      </w:r>
      <w:r w:rsidR="00E43A22">
        <w:t>use of lead weights for fishing.</w:t>
      </w:r>
    </w:p>
    <w:p w14:paraId="19CA94E2" w14:textId="77777777" w:rsidR="004B18B5" w:rsidRDefault="00A91509" w:rsidP="00401BB5">
      <w:pPr>
        <w:pStyle w:val="Considrant"/>
      </w:pPr>
      <w:r w:rsidRPr="007429DD">
        <w:t xml:space="preserve">On </w:t>
      </w:r>
      <w:r w:rsidR="008235B5">
        <w:t>21 June</w:t>
      </w:r>
      <w:r w:rsidR="003060DD" w:rsidRPr="007429DD">
        <w:t xml:space="preserve"> 2017, the Agency</w:t>
      </w:r>
      <w:r w:rsidR="008235B5">
        <w:t xml:space="preserve"> published</w:t>
      </w:r>
      <w:r w:rsidR="008D0974" w:rsidRPr="007429DD">
        <w:t xml:space="preserve"> the Annex XV dossier</w:t>
      </w:r>
      <w:r w:rsidR="00B8069F" w:rsidRPr="00F12E95">
        <w:rPr>
          <w:rStyle w:val="FootnoteReference"/>
          <w:szCs w:val="24"/>
        </w:rPr>
        <w:footnoteReference w:id="5"/>
      </w:r>
      <w:r w:rsidR="00D12E73">
        <w:t xml:space="preserve"> proposing</w:t>
      </w:r>
      <w:r w:rsidR="008E763F">
        <w:t xml:space="preserve"> the</w:t>
      </w:r>
      <w:r w:rsidR="00137C6B" w:rsidRPr="007429DD">
        <w:t xml:space="preserve"> </w:t>
      </w:r>
      <w:r w:rsidR="001E2E57">
        <w:t xml:space="preserve">introduction of </w:t>
      </w:r>
      <w:r w:rsidR="008D0974" w:rsidRPr="007429DD">
        <w:t xml:space="preserve">a restriction on </w:t>
      </w:r>
      <w:r w:rsidR="001E2E57">
        <w:t xml:space="preserve">the </w:t>
      </w:r>
      <w:r w:rsidR="008D0974" w:rsidRPr="007429DD">
        <w:t xml:space="preserve">use </w:t>
      </w:r>
      <w:r w:rsidR="007429DD">
        <w:t xml:space="preserve">of </w:t>
      </w:r>
      <w:r w:rsidR="000B1867">
        <w:t xml:space="preserve">lead </w:t>
      </w:r>
      <w:r w:rsidR="00C023FB">
        <w:t xml:space="preserve">and lead compounds </w:t>
      </w:r>
      <w:r w:rsidR="000B1867">
        <w:t>in gu</w:t>
      </w:r>
      <w:r w:rsidR="00B826D3">
        <w:t>n</w:t>
      </w:r>
      <w:r w:rsidR="007429DD">
        <w:t xml:space="preserve">shot </w:t>
      </w:r>
      <w:r w:rsidR="001E2E57">
        <w:t>for shooting</w:t>
      </w:r>
      <w:r w:rsidR="00C023FB">
        <w:t xml:space="preserve"> </w:t>
      </w:r>
      <w:r w:rsidR="0090624B">
        <w:t xml:space="preserve">with a shotgun </w:t>
      </w:r>
      <w:r w:rsidR="00F32632" w:rsidRPr="008235B5">
        <w:t>with</w:t>
      </w:r>
      <w:r w:rsidR="007429DD" w:rsidRPr="008235B5">
        <w:t xml:space="preserve">in </w:t>
      </w:r>
      <w:r w:rsidR="00F32632" w:rsidRPr="008235B5">
        <w:t xml:space="preserve">a </w:t>
      </w:r>
      <w:r w:rsidR="007429DD" w:rsidRPr="008235B5">
        <w:t>wetland</w:t>
      </w:r>
      <w:r w:rsidR="00F32632" w:rsidRPr="008235B5">
        <w:t xml:space="preserve"> or where spent gunshot would land within a wetland</w:t>
      </w:r>
      <w:r w:rsidR="003B11B2" w:rsidRPr="008235B5">
        <w:t xml:space="preserve">. </w:t>
      </w:r>
      <w:r w:rsidR="00DD3466" w:rsidRPr="008235B5">
        <w:t>The Agency also proposed introduction of a restriction on the possession of lead gunshot in wetlands</w:t>
      </w:r>
      <w:r w:rsidR="00B2272E">
        <w:t xml:space="preserve"> in order to enhance enforceability of the proposed restriction on the use of lead gunshot for shooting</w:t>
      </w:r>
      <w:r w:rsidR="00DD3466" w:rsidRPr="008235B5">
        <w:t xml:space="preserve">. </w:t>
      </w:r>
      <w:r w:rsidR="007429DD" w:rsidRPr="008235B5">
        <w:t>The Agency</w:t>
      </w:r>
      <w:r w:rsidR="008D0974" w:rsidRPr="008235B5">
        <w:t xml:space="preserve"> concluded that </w:t>
      </w:r>
      <w:r w:rsidR="00CD5A6B" w:rsidRPr="008235B5">
        <w:t>the use of lead gunshot in</w:t>
      </w:r>
      <w:r w:rsidR="00F32632" w:rsidRPr="008235B5">
        <w:t xml:space="preserve"> </w:t>
      </w:r>
      <w:r w:rsidR="00CD5A6B" w:rsidRPr="008235B5">
        <w:t>wetlands le</w:t>
      </w:r>
      <w:r w:rsidR="00CD5A6B" w:rsidRPr="007429DD">
        <w:t xml:space="preserve">ads to a risk to waterbirds that ingest spent lead </w:t>
      </w:r>
      <w:r w:rsidR="003D003D">
        <w:t>gun</w:t>
      </w:r>
      <w:r w:rsidR="00CD5A6B" w:rsidRPr="007429DD">
        <w:t>sh</w:t>
      </w:r>
      <w:r w:rsidR="00230C7B">
        <w:t>ot</w:t>
      </w:r>
      <w:r w:rsidR="003B11B2">
        <w:t>,</w:t>
      </w:r>
      <w:r w:rsidR="00204238" w:rsidRPr="007429DD">
        <w:t xml:space="preserve"> leadin</w:t>
      </w:r>
      <w:r w:rsidR="00230C7B">
        <w:t>g to t</w:t>
      </w:r>
      <w:r w:rsidR="00204238" w:rsidRPr="007429DD">
        <w:t xml:space="preserve">oxicological </w:t>
      </w:r>
      <w:r w:rsidR="00BE128E">
        <w:t xml:space="preserve">effects, </w:t>
      </w:r>
      <w:r w:rsidR="00204238" w:rsidRPr="007429DD">
        <w:t>including death</w:t>
      </w:r>
      <w:r w:rsidR="004534BE">
        <w:t>.</w:t>
      </w:r>
      <w:r w:rsidR="0090624B">
        <w:t xml:space="preserve"> </w:t>
      </w:r>
    </w:p>
    <w:p w14:paraId="0BBE6457" w14:textId="77777777" w:rsidR="007429DD" w:rsidRDefault="002C0B0B" w:rsidP="00401BB5">
      <w:pPr>
        <w:pStyle w:val="Considrant"/>
      </w:pPr>
      <w:r>
        <w:t>The number of water</w:t>
      </w:r>
      <w:r w:rsidR="007429DD" w:rsidRPr="007429DD">
        <w:t xml:space="preserve">birds estimated to die in the </w:t>
      </w:r>
      <w:r w:rsidR="001E2E57">
        <w:t xml:space="preserve">Union </w:t>
      </w:r>
      <w:r w:rsidR="007429DD" w:rsidRPr="007429DD">
        <w:t>from lead poisoning</w:t>
      </w:r>
      <w:r>
        <w:t xml:space="preserve"> </w:t>
      </w:r>
      <w:r w:rsidRPr="00354069">
        <w:t>is in the order of</w:t>
      </w:r>
      <w:r w:rsidRPr="00360F6F">
        <w:t xml:space="preserve"> one million</w:t>
      </w:r>
      <w:r w:rsidR="003B11B2" w:rsidRPr="00360F6F">
        <w:t xml:space="preserve"> every year</w:t>
      </w:r>
      <w:r w:rsidR="007429DD" w:rsidRPr="00354069">
        <w:t>.</w:t>
      </w:r>
      <w:r w:rsidR="003B11B2" w:rsidRPr="00354069">
        <w:t xml:space="preserve"> </w:t>
      </w:r>
      <w:r w:rsidR="00CD5A6B" w:rsidRPr="00354069">
        <w:t xml:space="preserve">The use </w:t>
      </w:r>
      <w:r w:rsidR="001E2E57" w:rsidRPr="00354069">
        <w:t xml:space="preserve">of lead </w:t>
      </w:r>
      <w:r w:rsidR="00C03962" w:rsidRPr="00354069">
        <w:t>gun</w:t>
      </w:r>
      <w:r w:rsidR="001E2E57" w:rsidRPr="00354069">
        <w:t xml:space="preserve">shot </w:t>
      </w:r>
      <w:r w:rsidR="00CD5A6B" w:rsidRPr="00354069">
        <w:t>al</w:t>
      </w:r>
      <w:r w:rsidR="003B11B2" w:rsidRPr="00354069">
        <w:t>so leads to a risk t</w:t>
      </w:r>
      <w:r w:rsidRPr="00354069">
        <w:t>o species that</w:t>
      </w:r>
      <w:r>
        <w:t xml:space="preserve"> </w:t>
      </w:r>
      <w:r w:rsidR="003B11B2">
        <w:t>feed on</w:t>
      </w:r>
      <w:r w:rsidR="00CD5A6B" w:rsidRPr="007429DD">
        <w:t xml:space="preserve"> birds contaminated with lead gunshot, </w:t>
      </w:r>
      <w:r w:rsidR="003C030F">
        <w:t xml:space="preserve">and a risk </w:t>
      </w:r>
      <w:r w:rsidR="00CD5A6B" w:rsidRPr="007429DD">
        <w:t>to humans from consuming waterbirds shot with lead gunshot</w:t>
      </w:r>
      <w:r w:rsidR="00B826D3">
        <w:t xml:space="preserve">, although the latter </w:t>
      </w:r>
      <w:r w:rsidR="003C030F">
        <w:t xml:space="preserve">risk was </w:t>
      </w:r>
      <w:r w:rsidR="00B826D3">
        <w:t xml:space="preserve">assessed </w:t>
      </w:r>
      <w:r w:rsidR="0090624B">
        <w:t xml:space="preserve">by the Agency </w:t>
      </w:r>
      <w:r w:rsidR="00B826D3">
        <w:t>only qualitatively</w:t>
      </w:r>
      <w:r w:rsidR="00CD5A6B" w:rsidRPr="007429DD">
        <w:t xml:space="preserve">. </w:t>
      </w:r>
      <w:r w:rsidR="007429DD">
        <w:t xml:space="preserve">Exposure to lead </w:t>
      </w:r>
      <w:r w:rsidR="003C030F">
        <w:t xml:space="preserve">by humans </w:t>
      </w:r>
      <w:r w:rsidR="007429DD">
        <w:t>is associated with</w:t>
      </w:r>
      <w:r w:rsidR="003B11B2">
        <w:t xml:space="preserve"> </w:t>
      </w:r>
      <w:r w:rsidR="007429DD">
        <w:t>neurodevelopmental effects, impaired renal function and fertility, hypertension, adverse pregnancy outcomes and death.</w:t>
      </w:r>
    </w:p>
    <w:p w14:paraId="221C26F6" w14:textId="77777777" w:rsidR="00EF2B94" w:rsidRPr="007429DD" w:rsidRDefault="00EF2B94" w:rsidP="00C31DCD">
      <w:pPr>
        <w:pStyle w:val="Considrant"/>
      </w:pPr>
      <w:r>
        <w:t xml:space="preserve">The Agency concluded that lead-free </w:t>
      </w:r>
      <w:r w:rsidR="00B826D3">
        <w:t>gun</w:t>
      </w:r>
      <w:r>
        <w:t xml:space="preserve">shot alternatives, such as steel and bismuth </w:t>
      </w:r>
      <w:r w:rsidR="00B826D3">
        <w:t>gun</w:t>
      </w:r>
      <w:r>
        <w:t>shot, are widely available, technically feasible</w:t>
      </w:r>
      <w:r w:rsidR="00B826D3">
        <w:t xml:space="preserve"> and </w:t>
      </w:r>
      <w:r>
        <w:t>hav</w:t>
      </w:r>
      <w:r w:rsidR="00F003D7">
        <w:t xml:space="preserve">e </w:t>
      </w:r>
      <w:r w:rsidR="00954731">
        <w:t xml:space="preserve">better </w:t>
      </w:r>
      <w:r>
        <w:t>human health and environmental hazard and risk profiles</w:t>
      </w:r>
      <w:r w:rsidR="00B826D3">
        <w:t xml:space="preserve"> than lead gunshot</w:t>
      </w:r>
      <w:r>
        <w:t>.</w:t>
      </w:r>
      <w:r w:rsidR="00F003D7" w:rsidRPr="00F003D7">
        <w:t xml:space="preserve"> </w:t>
      </w:r>
      <w:r w:rsidR="00F003D7">
        <w:t>Moreover</w:t>
      </w:r>
      <w:r w:rsidR="00060E55">
        <w:t>,</w:t>
      </w:r>
      <w:r w:rsidR="00F003D7">
        <w:t xml:space="preserve"> steel gunshot</w:t>
      </w:r>
      <w:r w:rsidR="006C6C31">
        <w:t>, the most likely alternative to be used,</w:t>
      </w:r>
      <w:r w:rsidR="00F003D7">
        <w:t xml:space="preserve"> is available at a comparable price </w:t>
      </w:r>
      <w:r w:rsidR="001F330E">
        <w:t xml:space="preserve">to </w:t>
      </w:r>
      <w:r w:rsidR="0022420A">
        <w:t xml:space="preserve">that of </w:t>
      </w:r>
      <w:r w:rsidR="00F003D7">
        <w:t>lead gunshot</w:t>
      </w:r>
      <w:r w:rsidR="00EC6AB3">
        <w:t>.</w:t>
      </w:r>
    </w:p>
    <w:p w14:paraId="2D0F7E8A" w14:textId="77777777" w:rsidR="00A675D5" w:rsidRPr="007429DD" w:rsidRDefault="00CD5A6B" w:rsidP="00314783">
      <w:pPr>
        <w:pStyle w:val="Considrant"/>
      </w:pPr>
      <w:r w:rsidRPr="007429DD">
        <w:t xml:space="preserve">Legislation preventing or reducing the use of lead </w:t>
      </w:r>
      <w:r w:rsidR="00CB6A82">
        <w:t>gun</w:t>
      </w:r>
      <w:r w:rsidRPr="007429DD">
        <w:t>shot in wetlands exist</w:t>
      </w:r>
      <w:r w:rsidR="00D20A20">
        <w:t>s</w:t>
      </w:r>
      <w:r w:rsidRPr="007429DD">
        <w:t xml:space="preserve"> in </w:t>
      </w:r>
      <w:r w:rsidR="00CB6A82">
        <w:t xml:space="preserve">the majority of </w:t>
      </w:r>
      <w:r w:rsidRPr="007429DD">
        <w:t>Member States</w:t>
      </w:r>
      <w:r w:rsidR="00204238" w:rsidRPr="007429DD">
        <w:t>, but the disparities between them result in different levels of risk reduction.</w:t>
      </w:r>
      <w:r w:rsidRPr="007429DD">
        <w:t xml:space="preserve"> T</w:t>
      </w:r>
      <w:r w:rsidR="0086510B" w:rsidRPr="007429DD">
        <w:t xml:space="preserve">he Annex XV dossier </w:t>
      </w:r>
      <w:r w:rsidR="00137C6B" w:rsidRPr="007429DD">
        <w:t xml:space="preserve">demonstrated that </w:t>
      </w:r>
      <w:r w:rsidR="009C4358" w:rsidRPr="007429DD">
        <w:t xml:space="preserve">Union-wide </w:t>
      </w:r>
      <w:r w:rsidR="00AA0ECD" w:rsidRPr="007429DD">
        <w:t xml:space="preserve">action </w:t>
      </w:r>
      <w:r w:rsidR="00204238" w:rsidRPr="007429DD">
        <w:t>i</w:t>
      </w:r>
      <w:r w:rsidR="00705249" w:rsidRPr="007429DD">
        <w:t>s</w:t>
      </w:r>
      <w:r w:rsidR="00AA0ECD" w:rsidRPr="007429DD">
        <w:t xml:space="preserve"> necessary to address </w:t>
      </w:r>
      <w:r w:rsidR="00204238" w:rsidRPr="007429DD">
        <w:t xml:space="preserve">the </w:t>
      </w:r>
      <w:r w:rsidR="00AA0ECD" w:rsidRPr="007429DD">
        <w:t>risks</w:t>
      </w:r>
      <w:r w:rsidR="00204238" w:rsidRPr="007429DD">
        <w:t xml:space="preserve"> </w:t>
      </w:r>
      <w:r w:rsidR="009C4358">
        <w:t xml:space="preserve">arising </w:t>
      </w:r>
      <w:r w:rsidR="00204238" w:rsidRPr="007429DD">
        <w:t>f</w:t>
      </w:r>
      <w:r w:rsidRPr="007429DD">
        <w:t xml:space="preserve">rom the use of lead </w:t>
      </w:r>
      <w:r w:rsidR="00CB6A82">
        <w:t>gun</w:t>
      </w:r>
      <w:r w:rsidRPr="007429DD">
        <w:t>shot in wetlands</w:t>
      </w:r>
      <w:r w:rsidR="003C030F">
        <w:t xml:space="preserve"> in a harmonised manner</w:t>
      </w:r>
      <w:r w:rsidR="009C4358">
        <w:t xml:space="preserve">. </w:t>
      </w:r>
      <w:r w:rsidR="00BC27D4">
        <w:t>Furthermore</w:t>
      </w:r>
      <w:r w:rsidR="009C4358">
        <w:t>,</w:t>
      </w:r>
      <w:r w:rsidR="00204238" w:rsidRPr="007429DD">
        <w:t xml:space="preserve"> the migration routes of migratory birds typically cross several Member States</w:t>
      </w:r>
      <w:r w:rsidR="008F5295">
        <w:t xml:space="preserve"> and </w:t>
      </w:r>
      <w:r w:rsidR="009C4358">
        <w:t xml:space="preserve">therefore </w:t>
      </w:r>
      <w:r w:rsidR="008F5295">
        <w:t>birds could ingest</w:t>
      </w:r>
      <w:r w:rsidR="00EF3C2D">
        <w:t xml:space="preserve"> spent</w:t>
      </w:r>
      <w:r w:rsidR="008F5295">
        <w:t xml:space="preserve"> lead gunshot in Member States where </w:t>
      </w:r>
      <w:r w:rsidR="00BC27D4">
        <w:t>no or more limited measures are in place</w:t>
      </w:r>
      <w:r w:rsidR="00D20A20">
        <w:t>.</w:t>
      </w:r>
    </w:p>
    <w:p w14:paraId="46763F70" w14:textId="77777777" w:rsidR="00BE128E" w:rsidRDefault="00BE128E" w:rsidP="00154814">
      <w:pPr>
        <w:pStyle w:val="Considrant"/>
      </w:pPr>
      <w:r>
        <w:t>The Agency suggested a transitional period of three years for introduction of the restriction.</w:t>
      </w:r>
    </w:p>
    <w:p w14:paraId="416C7438" w14:textId="77777777" w:rsidR="005E7663" w:rsidRPr="00C50902" w:rsidRDefault="00204238" w:rsidP="00154814">
      <w:pPr>
        <w:pStyle w:val="Considrant"/>
      </w:pPr>
      <w:r w:rsidRPr="006F1EDD">
        <w:t>On 9</w:t>
      </w:r>
      <w:r w:rsidR="00590A9E" w:rsidRPr="006F1EDD">
        <w:t xml:space="preserve"> </w:t>
      </w:r>
      <w:r w:rsidRPr="006F1EDD">
        <w:t>March</w:t>
      </w:r>
      <w:r w:rsidR="00590A9E" w:rsidRPr="006F1EDD">
        <w:t xml:space="preserve"> 201</w:t>
      </w:r>
      <w:r w:rsidRPr="006F1EDD">
        <w:t>8</w:t>
      </w:r>
      <w:r w:rsidR="00590A9E" w:rsidRPr="006F1EDD">
        <w:t xml:space="preserve">, the Agency’s </w:t>
      </w:r>
      <w:r w:rsidR="00832984">
        <w:t xml:space="preserve">Committee for </w:t>
      </w:r>
      <w:r w:rsidR="00590A9E" w:rsidRPr="006F1EDD">
        <w:t xml:space="preserve">Risk Assessment (RAC) adopted </w:t>
      </w:r>
      <w:r w:rsidR="00C03962">
        <w:t xml:space="preserve">an </w:t>
      </w:r>
      <w:r w:rsidR="00590A9E" w:rsidRPr="006F1EDD">
        <w:t>opinion</w:t>
      </w:r>
      <w:r w:rsidR="003C030F">
        <w:t xml:space="preserve"> </w:t>
      </w:r>
      <w:r w:rsidR="00BE128E">
        <w:t>pursuant to Article 70 of</w:t>
      </w:r>
      <w:r w:rsidR="00BE128E" w:rsidRPr="00BE128E">
        <w:t xml:space="preserve"> </w:t>
      </w:r>
      <w:r w:rsidR="00BE128E" w:rsidRPr="0019272C">
        <w:t>Regulation (EC) No 1907/2006</w:t>
      </w:r>
      <w:r w:rsidR="00C03962">
        <w:t xml:space="preserve"> </w:t>
      </w:r>
      <w:r w:rsidR="004D4CF0">
        <w:t xml:space="preserve">with respect to </w:t>
      </w:r>
      <w:r w:rsidR="00C03962">
        <w:t>the Annex XV dossier. In that opinion</w:t>
      </w:r>
      <w:r w:rsidR="00590A9E" w:rsidRPr="006F1EDD">
        <w:t xml:space="preserve">, </w:t>
      </w:r>
      <w:r w:rsidR="00C03962">
        <w:t xml:space="preserve">RAC concurred </w:t>
      </w:r>
      <w:r w:rsidR="00944ADA" w:rsidRPr="006F1EDD">
        <w:t xml:space="preserve">with the </w:t>
      </w:r>
      <w:r w:rsidR="003C030F">
        <w:t xml:space="preserve">Agency’s conclusion </w:t>
      </w:r>
      <w:r w:rsidR="00944ADA" w:rsidRPr="006F1EDD">
        <w:t xml:space="preserve">that ingestion of spent lead </w:t>
      </w:r>
      <w:r w:rsidR="003D003D">
        <w:t>gun</w:t>
      </w:r>
      <w:r w:rsidR="00944ADA" w:rsidRPr="006F1EDD">
        <w:t>shot by waterbirds caus</w:t>
      </w:r>
      <w:r w:rsidR="005C0162">
        <w:t xml:space="preserve">es toxicological </w:t>
      </w:r>
      <w:r w:rsidR="00BE128E">
        <w:t xml:space="preserve">effects, </w:t>
      </w:r>
      <w:r w:rsidR="00944ADA" w:rsidRPr="006F1EDD">
        <w:t xml:space="preserve">including </w:t>
      </w:r>
      <w:r w:rsidR="00D13A1E" w:rsidRPr="006F1EDD">
        <w:t>death</w:t>
      </w:r>
      <w:r w:rsidR="00CA202E">
        <w:t xml:space="preserve">. </w:t>
      </w:r>
      <w:r w:rsidR="00900C88" w:rsidRPr="006F1EDD">
        <w:t xml:space="preserve">As to human health, </w:t>
      </w:r>
      <w:r w:rsidR="00944ADA" w:rsidRPr="006F1EDD">
        <w:t xml:space="preserve">RAC concluded that lead is highly toxic and that </w:t>
      </w:r>
      <w:r w:rsidR="0090624B">
        <w:t xml:space="preserve">no </w:t>
      </w:r>
      <w:r w:rsidR="00944ADA" w:rsidRPr="006F1EDD">
        <w:t xml:space="preserve">threshold </w:t>
      </w:r>
      <w:r w:rsidR="0090624B">
        <w:t xml:space="preserve">has been established either </w:t>
      </w:r>
      <w:r w:rsidR="00944ADA" w:rsidRPr="006F1EDD">
        <w:t xml:space="preserve">for neurodevelopmental effects in children </w:t>
      </w:r>
      <w:r w:rsidR="00BE128E">
        <w:t xml:space="preserve">or </w:t>
      </w:r>
      <w:r w:rsidR="003C030F">
        <w:t xml:space="preserve">for </w:t>
      </w:r>
      <w:r w:rsidR="00944ADA" w:rsidRPr="006F1EDD">
        <w:t xml:space="preserve">blood pressure </w:t>
      </w:r>
      <w:r w:rsidR="00BE128E">
        <w:t xml:space="preserve">or </w:t>
      </w:r>
      <w:r w:rsidR="00944ADA" w:rsidRPr="006F1EDD">
        <w:t>renal effects in adults</w:t>
      </w:r>
      <w:r w:rsidR="00900C88" w:rsidRPr="006F1EDD">
        <w:t xml:space="preserve">, so any exposure to lead </w:t>
      </w:r>
      <w:r w:rsidR="0090624B">
        <w:t xml:space="preserve">therefore </w:t>
      </w:r>
      <w:r w:rsidR="00900C88" w:rsidRPr="006F1EDD">
        <w:t>constitutes a risk</w:t>
      </w:r>
      <w:r w:rsidR="00CA202E">
        <w:t xml:space="preserve">. </w:t>
      </w:r>
      <w:r w:rsidR="00900C88" w:rsidRPr="006F1EDD">
        <w:t xml:space="preserve">RAC concluded that the proposed restriction is an appropriate Union-wide </w:t>
      </w:r>
      <w:r w:rsidR="00900C88" w:rsidRPr="00C50902">
        <w:t>measure to address the identified risk</w:t>
      </w:r>
      <w:r w:rsidR="00BE128E" w:rsidRPr="00C50902">
        <w:t>s</w:t>
      </w:r>
      <w:r w:rsidR="00900C88" w:rsidRPr="00C50902">
        <w:t>.</w:t>
      </w:r>
    </w:p>
    <w:p w14:paraId="78B35B96" w14:textId="77777777" w:rsidR="007C3DDC" w:rsidRDefault="007C3DDC" w:rsidP="00154814">
      <w:pPr>
        <w:pStyle w:val="Considrant"/>
      </w:pPr>
      <w:r>
        <w:t>RAC strongly supported</w:t>
      </w:r>
      <w:r w:rsidRPr="005A1A47">
        <w:t xml:space="preserve"> a shorter transitional period than the </w:t>
      </w:r>
      <w:r w:rsidR="00B25A37">
        <w:t>three</w:t>
      </w:r>
      <w:r w:rsidRPr="005A1A47">
        <w:t xml:space="preserve"> years proposed by the </w:t>
      </w:r>
      <w:r w:rsidR="00B25A37">
        <w:t>Agency</w:t>
      </w:r>
      <w:r w:rsidRPr="005A1A47">
        <w:t xml:space="preserve">. The reason </w:t>
      </w:r>
      <w:r w:rsidR="004D4CF0">
        <w:t xml:space="preserve">given was </w:t>
      </w:r>
      <w:r w:rsidRPr="005A1A47">
        <w:t xml:space="preserve">that each year of delay </w:t>
      </w:r>
      <w:r w:rsidR="00BE128E">
        <w:t xml:space="preserve">would result </w:t>
      </w:r>
      <w:r w:rsidR="004D4CF0">
        <w:t xml:space="preserve">in approximately </w:t>
      </w:r>
      <w:r w:rsidR="00E45ADC">
        <w:t>4 </w:t>
      </w:r>
      <w:r w:rsidRPr="005A1A47">
        <w:t xml:space="preserve">000 </w:t>
      </w:r>
      <w:r w:rsidR="004D4CF0">
        <w:t xml:space="preserve">additional </w:t>
      </w:r>
      <w:r w:rsidRPr="005A1A47">
        <w:t xml:space="preserve">tonnes of lead </w:t>
      </w:r>
      <w:r w:rsidR="004D4CF0">
        <w:t xml:space="preserve">being released </w:t>
      </w:r>
      <w:r w:rsidR="00BE128E">
        <w:t xml:space="preserve">into </w:t>
      </w:r>
      <w:r w:rsidRPr="005A1A47">
        <w:t xml:space="preserve">wetland </w:t>
      </w:r>
      <w:r w:rsidR="00BE128E">
        <w:t>areas</w:t>
      </w:r>
      <w:r w:rsidR="004D4CF0">
        <w:t>,</w:t>
      </w:r>
      <w:r w:rsidR="00BE128E">
        <w:t xml:space="preserve"> </w:t>
      </w:r>
      <w:r w:rsidR="004D4CF0">
        <w:t xml:space="preserve">resulting </w:t>
      </w:r>
      <w:r w:rsidR="00BE128E">
        <w:t xml:space="preserve">in </w:t>
      </w:r>
      <w:r w:rsidRPr="005A1A47">
        <w:t xml:space="preserve">the death of </w:t>
      </w:r>
      <w:r w:rsidR="004D4CF0" w:rsidRPr="0022420A">
        <w:t xml:space="preserve">somewhere </w:t>
      </w:r>
      <w:r w:rsidRPr="0022420A">
        <w:t>in the order of</w:t>
      </w:r>
      <w:r w:rsidRPr="005A1A47">
        <w:t xml:space="preserve"> 1 million birds</w:t>
      </w:r>
      <w:r>
        <w:t>.</w:t>
      </w:r>
    </w:p>
    <w:p w14:paraId="13CD8221" w14:textId="77777777" w:rsidR="00480A8E" w:rsidRPr="00A54B55" w:rsidRDefault="003E3F0D" w:rsidP="009E55DB">
      <w:pPr>
        <w:pStyle w:val="Considrant"/>
      </w:pPr>
      <w:r w:rsidRPr="00F13309">
        <w:t xml:space="preserve">On </w:t>
      </w:r>
      <w:r w:rsidR="00204238" w:rsidRPr="00F13309">
        <w:t xml:space="preserve">14 June </w:t>
      </w:r>
      <w:r w:rsidR="001341C0" w:rsidRPr="00F13309">
        <w:t>201</w:t>
      </w:r>
      <w:r w:rsidR="00204238" w:rsidRPr="00F13309">
        <w:t>8</w:t>
      </w:r>
      <w:r w:rsidRPr="00F13309">
        <w:t xml:space="preserve">, </w:t>
      </w:r>
      <w:r w:rsidR="009E55DB" w:rsidRPr="00F13309">
        <w:t>the Agency’s</w:t>
      </w:r>
      <w:r w:rsidR="008F7399">
        <w:t xml:space="preserve"> Committee for</w:t>
      </w:r>
      <w:r w:rsidR="009E55DB" w:rsidRPr="00F13309">
        <w:t xml:space="preserve"> Socio-</w:t>
      </w:r>
      <w:r w:rsidR="008F7399">
        <w:t>e</w:t>
      </w:r>
      <w:r w:rsidR="009E55DB" w:rsidRPr="00F13309">
        <w:t xml:space="preserve">conomic </w:t>
      </w:r>
      <w:r w:rsidR="008F7399">
        <w:t>Analysis</w:t>
      </w:r>
      <w:r w:rsidR="009E55DB" w:rsidRPr="00F13309">
        <w:t xml:space="preserve"> (</w:t>
      </w:r>
      <w:r w:rsidRPr="00F13309">
        <w:t>SEAC</w:t>
      </w:r>
      <w:r w:rsidR="009E55DB" w:rsidRPr="00F13309">
        <w:t>)</w:t>
      </w:r>
      <w:r w:rsidRPr="00F13309">
        <w:t xml:space="preserve"> adopted </w:t>
      </w:r>
      <w:r w:rsidR="00FC3CE3">
        <w:t>an</w:t>
      </w:r>
      <w:r w:rsidRPr="00F13309">
        <w:t xml:space="preserve"> opinion</w:t>
      </w:r>
      <w:r w:rsidR="00BE128E">
        <w:t xml:space="preserve"> pursuant to Article 71(1) of </w:t>
      </w:r>
      <w:r w:rsidR="00BE128E" w:rsidRPr="0019272C">
        <w:t>Regulation (EC) No 1907/2006</w:t>
      </w:r>
      <w:r w:rsidR="00BB41CB" w:rsidRPr="00F13309">
        <w:t xml:space="preserve">, concluding that the proposed restriction is </w:t>
      </w:r>
      <w:r w:rsidR="001C5E96" w:rsidRPr="00F13309">
        <w:t>an</w:t>
      </w:r>
      <w:r w:rsidR="00BB41CB" w:rsidRPr="00F13309">
        <w:t xml:space="preserve"> appropriate Union-</w:t>
      </w:r>
      <w:r w:rsidR="00BB41CB" w:rsidRPr="00A54B55">
        <w:t xml:space="preserve">wide measure to </w:t>
      </w:r>
      <w:r w:rsidR="001C5E96" w:rsidRPr="00A54B55">
        <w:t xml:space="preserve">address </w:t>
      </w:r>
      <w:r w:rsidR="009E55DB" w:rsidRPr="00A54B55">
        <w:t xml:space="preserve">the </w:t>
      </w:r>
      <w:r w:rsidR="00F13309" w:rsidRPr="00A54B55">
        <w:t xml:space="preserve">identified </w:t>
      </w:r>
      <w:r w:rsidR="009E55DB" w:rsidRPr="00A54B55">
        <w:t>risk</w:t>
      </w:r>
      <w:r w:rsidR="00F13309" w:rsidRPr="00A54B55">
        <w:t xml:space="preserve">s, taking into account the </w:t>
      </w:r>
      <w:r w:rsidR="00BE79E8">
        <w:t xml:space="preserve">fact that the </w:t>
      </w:r>
      <w:r w:rsidR="00F13309" w:rsidRPr="00A54B55">
        <w:t>socio</w:t>
      </w:r>
      <w:r w:rsidR="009E55DB" w:rsidRPr="00A54B55">
        <w:t xml:space="preserve">-economic benefits </w:t>
      </w:r>
      <w:r w:rsidR="00BE79E8">
        <w:t xml:space="preserve">of the </w:t>
      </w:r>
      <w:r w:rsidR="004D4CF0">
        <w:t xml:space="preserve">measure would be </w:t>
      </w:r>
      <w:r w:rsidR="00BE79E8">
        <w:t xml:space="preserve">proportionate </w:t>
      </w:r>
      <w:r w:rsidR="00F13309" w:rsidRPr="00A54B55">
        <w:t xml:space="preserve">to </w:t>
      </w:r>
      <w:r w:rsidR="00BE79E8">
        <w:t xml:space="preserve">the </w:t>
      </w:r>
      <w:r w:rsidR="009E55DB" w:rsidRPr="00A54B55">
        <w:t>socio-economic costs.</w:t>
      </w:r>
      <w:r w:rsidR="00F80902">
        <w:t xml:space="preserve"> In addition, </w:t>
      </w:r>
      <w:r w:rsidR="004D4CF0">
        <w:t xml:space="preserve">SEAC </w:t>
      </w:r>
      <w:r w:rsidR="00BE79E8">
        <w:t xml:space="preserve">concluded </w:t>
      </w:r>
      <w:r w:rsidR="00F80902">
        <w:t xml:space="preserve">that the cost of the proposed restriction </w:t>
      </w:r>
      <w:r w:rsidR="00414B17">
        <w:t xml:space="preserve">would </w:t>
      </w:r>
      <w:r w:rsidR="00F80902">
        <w:t xml:space="preserve">be borne mainly by hunters, </w:t>
      </w:r>
      <w:r w:rsidR="00BE79E8">
        <w:t xml:space="preserve">and </w:t>
      </w:r>
      <w:r w:rsidR="00F80902">
        <w:t xml:space="preserve">that the cost increase to hunters </w:t>
      </w:r>
      <w:r w:rsidR="004D4CF0">
        <w:t xml:space="preserve">was </w:t>
      </w:r>
      <w:r w:rsidR="00F80902">
        <w:t>reasonable</w:t>
      </w:r>
      <w:r w:rsidR="00D20A20">
        <w:t>.</w:t>
      </w:r>
    </w:p>
    <w:p w14:paraId="4E05F08C" w14:textId="77777777" w:rsidR="00614B33" w:rsidRPr="003E01A5" w:rsidRDefault="00E56749" w:rsidP="00562518">
      <w:pPr>
        <w:pStyle w:val="Considrant"/>
      </w:pPr>
      <w:r w:rsidRPr="00A54B55">
        <w:t>SEAC considered that a shorter transition</w:t>
      </w:r>
      <w:r w:rsidR="00BE79E8">
        <w:t>al</w:t>
      </w:r>
      <w:r w:rsidRPr="00A54B55">
        <w:t xml:space="preserve"> period than the </w:t>
      </w:r>
      <w:r w:rsidR="006029AE" w:rsidRPr="00A54B55">
        <w:t>three years</w:t>
      </w:r>
      <w:r w:rsidRPr="00A54B55">
        <w:t xml:space="preserve"> suggested in the Annex XV dossier</w:t>
      </w:r>
      <w:r w:rsidR="006029AE" w:rsidRPr="00A54B55">
        <w:t xml:space="preserve"> </w:t>
      </w:r>
      <w:r w:rsidR="0073295F" w:rsidRPr="00A54B55">
        <w:t xml:space="preserve">could pose a challenge </w:t>
      </w:r>
      <w:r w:rsidR="004D4CF0">
        <w:t xml:space="preserve">in terms of </w:t>
      </w:r>
      <w:r w:rsidR="00C21BE1">
        <w:t xml:space="preserve">implementation </w:t>
      </w:r>
      <w:r w:rsidR="00BE79E8">
        <w:t xml:space="preserve">for those </w:t>
      </w:r>
      <w:r w:rsidR="0073295F" w:rsidRPr="00A54B55">
        <w:t xml:space="preserve">Member States </w:t>
      </w:r>
      <w:r w:rsidR="00BE79E8">
        <w:t xml:space="preserve">that </w:t>
      </w:r>
      <w:r w:rsidR="006029AE" w:rsidRPr="00A54B55">
        <w:t xml:space="preserve">currently </w:t>
      </w:r>
      <w:r w:rsidR="00BE79E8">
        <w:t xml:space="preserve">have only </w:t>
      </w:r>
      <w:r w:rsidR="0073295F" w:rsidRPr="00A54B55">
        <w:t xml:space="preserve">a </w:t>
      </w:r>
      <w:r w:rsidR="00BE79E8">
        <w:t xml:space="preserve">limited </w:t>
      </w:r>
      <w:r w:rsidR="0073295F" w:rsidRPr="00A54B55">
        <w:t xml:space="preserve">or no ban on the use of lead </w:t>
      </w:r>
      <w:r w:rsidR="0073295F" w:rsidRPr="003E01A5">
        <w:t>gunshot in wetlands</w:t>
      </w:r>
      <w:r w:rsidR="00273175">
        <w:t xml:space="preserve">, although </w:t>
      </w:r>
      <w:r w:rsidR="00DC4FCC">
        <w:t xml:space="preserve">SEAC </w:t>
      </w:r>
      <w:r w:rsidR="0090624B">
        <w:t xml:space="preserve">did also acknowledge </w:t>
      </w:r>
      <w:r w:rsidR="00273175">
        <w:t xml:space="preserve">that </w:t>
      </w:r>
      <w:r w:rsidR="0090624B">
        <w:t xml:space="preserve">a shorter transitional period </w:t>
      </w:r>
      <w:r w:rsidR="004D4CF0">
        <w:t xml:space="preserve">might </w:t>
      </w:r>
      <w:r w:rsidR="00273175" w:rsidRPr="00A54B55">
        <w:t xml:space="preserve">be </w:t>
      </w:r>
      <w:r w:rsidR="00273175">
        <w:t>feasible</w:t>
      </w:r>
      <w:r w:rsidR="00D864FA">
        <w:t>, having regard to the</w:t>
      </w:r>
      <w:r w:rsidR="007C3DDC">
        <w:t xml:space="preserve"> </w:t>
      </w:r>
      <w:r w:rsidR="004D4CF0">
        <w:t xml:space="preserve">fact </w:t>
      </w:r>
      <w:r w:rsidR="007C3DDC">
        <w:t xml:space="preserve">that lead-free gunshot is already available on the market, that infrastructure for proofing gunshots is available in nearly all Member States and that, in terms of increased costs for </w:t>
      </w:r>
      <w:r w:rsidR="00D864FA">
        <w:t xml:space="preserve">early </w:t>
      </w:r>
      <w:r w:rsidR="007C3DDC">
        <w:t>replacement of guns, a shorter transition</w:t>
      </w:r>
      <w:r w:rsidR="00BE79E8">
        <w:t>al</w:t>
      </w:r>
      <w:r w:rsidR="007C3DDC">
        <w:t xml:space="preserve"> period would have only a minor impact</w:t>
      </w:r>
      <w:r w:rsidR="0073295F" w:rsidRPr="003E01A5">
        <w:t>.</w:t>
      </w:r>
    </w:p>
    <w:p w14:paraId="54EA0C6A" w14:textId="77777777" w:rsidR="0019272C" w:rsidRPr="003E01A5" w:rsidRDefault="0019272C" w:rsidP="0019272C">
      <w:pPr>
        <w:pStyle w:val="Considrant"/>
      </w:pPr>
      <w:r w:rsidRPr="003E01A5">
        <w:t>The Forum for Exchange of Information on Enforcement</w:t>
      </w:r>
      <w:r w:rsidR="00BE79E8">
        <w:t xml:space="preserve"> </w:t>
      </w:r>
      <w:r w:rsidRPr="003E01A5">
        <w:t xml:space="preserve">was consulted </w:t>
      </w:r>
      <w:r w:rsidR="002C07E0" w:rsidRPr="003E01A5">
        <w:t>during the</w:t>
      </w:r>
      <w:r w:rsidR="00E45ADC">
        <w:t xml:space="preserve"> restriction</w:t>
      </w:r>
      <w:r w:rsidR="001A53F6">
        <w:t>s</w:t>
      </w:r>
      <w:r w:rsidR="00E45ADC">
        <w:t xml:space="preserve"> </w:t>
      </w:r>
      <w:r w:rsidR="002C07E0" w:rsidRPr="00E45ADC">
        <w:t>process</w:t>
      </w:r>
      <w:r w:rsidR="004C32BC" w:rsidRPr="00E45ADC">
        <w:t xml:space="preserve"> </w:t>
      </w:r>
      <w:r w:rsidR="004C32BC">
        <w:t xml:space="preserve">in accordance with Article 77(4)(h) of Regulation </w:t>
      </w:r>
      <w:r w:rsidR="004C32BC" w:rsidRPr="0019272C">
        <w:t>(EC) No 1907/2006</w:t>
      </w:r>
      <w:r w:rsidR="002C07E0" w:rsidRPr="003E01A5">
        <w:t xml:space="preserve"> </w:t>
      </w:r>
      <w:r w:rsidRPr="003E01A5">
        <w:t xml:space="preserve">and its recommendations </w:t>
      </w:r>
      <w:r w:rsidR="00BE79E8">
        <w:t xml:space="preserve">were </w:t>
      </w:r>
      <w:r w:rsidRPr="003E01A5">
        <w:t>taken into account</w:t>
      </w:r>
      <w:r w:rsidR="00C8340D">
        <w:t>.</w:t>
      </w:r>
    </w:p>
    <w:p w14:paraId="31EB2B61" w14:textId="77777777" w:rsidR="001341C0" w:rsidRPr="003E01A5" w:rsidRDefault="0019272C" w:rsidP="00A54B55">
      <w:pPr>
        <w:pStyle w:val="Considrant"/>
      </w:pPr>
      <w:r w:rsidRPr="004F1C4E">
        <w:t xml:space="preserve">On </w:t>
      </w:r>
      <w:r w:rsidR="007429DD" w:rsidRPr="004F1C4E">
        <w:t>17 August</w:t>
      </w:r>
      <w:r w:rsidR="001341C0" w:rsidRPr="004F1C4E">
        <w:t xml:space="preserve"> 201</w:t>
      </w:r>
      <w:r w:rsidR="007429DD" w:rsidRPr="004F1C4E">
        <w:t>8</w:t>
      </w:r>
      <w:r w:rsidR="0054069A" w:rsidRPr="004F1C4E">
        <w:t>,</w:t>
      </w:r>
      <w:r w:rsidRPr="004F1C4E">
        <w:t xml:space="preserve"> the Agency submitted the opinions of RAC and SEAC</w:t>
      </w:r>
      <w:r w:rsidR="006526F1" w:rsidRPr="004F1C4E">
        <w:rPr>
          <w:rStyle w:val="FootnoteReference"/>
        </w:rPr>
        <w:footnoteReference w:id="6"/>
      </w:r>
      <w:r w:rsidRPr="004F1C4E">
        <w:t xml:space="preserve"> </w:t>
      </w:r>
      <w:r w:rsidR="007836A0" w:rsidRPr="004F1C4E">
        <w:t xml:space="preserve">to the </w:t>
      </w:r>
      <w:r w:rsidR="003E01A5">
        <w:t>Commission.</w:t>
      </w:r>
    </w:p>
    <w:p w14:paraId="25EBFF28" w14:textId="2918248B" w:rsidR="008D4BE5" w:rsidRDefault="00230C7B" w:rsidP="00C8340D">
      <w:pPr>
        <w:pStyle w:val="Considrant"/>
      </w:pPr>
      <w:r w:rsidRPr="00C50902">
        <w:t>Taking into account the Annex XV dossier</w:t>
      </w:r>
      <w:r w:rsidR="00CC366C" w:rsidRPr="00C50902">
        <w:t xml:space="preserve">, </w:t>
      </w:r>
      <w:r w:rsidR="006B1D98" w:rsidRPr="00C50902">
        <w:t xml:space="preserve">the opinions of RAC and SEAC, </w:t>
      </w:r>
      <w:r w:rsidR="00CC366C" w:rsidRPr="00C50902">
        <w:t xml:space="preserve">the socio-economic impact and </w:t>
      </w:r>
      <w:r w:rsidR="006B1D98" w:rsidRPr="00C50902">
        <w:t>t</w:t>
      </w:r>
      <w:r w:rsidR="00E71996" w:rsidRPr="00C50902">
        <w:t xml:space="preserve">he </w:t>
      </w:r>
      <w:r w:rsidRPr="00C50902">
        <w:t xml:space="preserve">availability of alternatives, the </w:t>
      </w:r>
      <w:r w:rsidR="00E71996" w:rsidRPr="00C50902">
        <w:t>Commission considers that t</w:t>
      </w:r>
      <w:r w:rsidR="00851E2B" w:rsidRPr="00C50902">
        <w:t>he</w:t>
      </w:r>
      <w:r w:rsidR="000F6AB6" w:rsidRPr="00C50902">
        <w:t>re</w:t>
      </w:r>
      <w:r w:rsidR="000C5B77" w:rsidRPr="00C50902">
        <w:t xml:space="preserve"> is </w:t>
      </w:r>
      <w:r w:rsidR="00C21F13" w:rsidRPr="00C50902">
        <w:t xml:space="preserve">an unacceptable risk to </w:t>
      </w:r>
      <w:r w:rsidR="007E4A25" w:rsidRPr="00C50902">
        <w:t xml:space="preserve">the </w:t>
      </w:r>
      <w:r w:rsidR="00034A2D" w:rsidRPr="00C50902">
        <w:t xml:space="preserve">environment </w:t>
      </w:r>
      <w:r w:rsidR="0090624B">
        <w:t xml:space="preserve">and </w:t>
      </w:r>
      <w:r w:rsidR="00CB6A82" w:rsidRPr="00C50902">
        <w:t>a po</w:t>
      </w:r>
      <w:r w:rsidR="007A590E" w:rsidRPr="00C50902">
        <w:t>tential</w:t>
      </w:r>
      <w:r w:rsidR="00CB6A82" w:rsidRPr="00C50902">
        <w:t xml:space="preserve"> risk to </w:t>
      </w:r>
      <w:r w:rsidR="00034A2D" w:rsidRPr="00C50902">
        <w:t xml:space="preserve">human </w:t>
      </w:r>
      <w:r w:rsidR="00472CB3" w:rsidRPr="00C50902">
        <w:t>health</w:t>
      </w:r>
      <w:r w:rsidR="00034A2D" w:rsidRPr="00C50902">
        <w:t xml:space="preserve"> stemming from </w:t>
      </w:r>
      <w:r w:rsidR="00DF32EA">
        <w:t>the discharge</w:t>
      </w:r>
      <w:r w:rsidR="00D77117" w:rsidRPr="00C50902">
        <w:t xml:space="preserve"> of lead </w:t>
      </w:r>
      <w:r w:rsidR="00CB6A82" w:rsidRPr="00C50902">
        <w:t>gun</w:t>
      </w:r>
      <w:r w:rsidR="00034A2D" w:rsidRPr="00C50902">
        <w:t xml:space="preserve">shot in </w:t>
      </w:r>
      <w:r w:rsidR="007B5756">
        <w:t xml:space="preserve">or around </w:t>
      </w:r>
      <w:r w:rsidR="00034A2D" w:rsidRPr="00C50902">
        <w:t>wetlands</w:t>
      </w:r>
      <w:r w:rsidR="007B5756">
        <w:t>,</w:t>
      </w:r>
      <w:r w:rsidR="00154814" w:rsidRPr="00C50902">
        <w:t xml:space="preserve"> </w:t>
      </w:r>
      <w:r w:rsidR="00E71996" w:rsidRPr="00C50902">
        <w:t>which</w:t>
      </w:r>
      <w:r w:rsidR="000F6AB6" w:rsidRPr="00C50902">
        <w:t xml:space="preserve"> </w:t>
      </w:r>
      <w:r w:rsidR="00E71996" w:rsidRPr="00C50902">
        <w:t>needs to be</w:t>
      </w:r>
      <w:r w:rsidR="000F6AB6" w:rsidRPr="00C50902">
        <w:t xml:space="preserve"> addressed on a Union-wide basis</w:t>
      </w:r>
      <w:r w:rsidR="007B5756">
        <w:t>.</w:t>
      </w:r>
      <w:r w:rsidR="00B2272E">
        <w:t xml:space="preserve"> It is therefore appropriate to introduce a restriction on the act of discharging lead gunshot in or around wetlands. </w:t>
      </w:r>
    </w:p>
    <w:p w14:paraId="69A86FFB" w14:textId="35B0AA15" w:rsidR="006F0F2C" w:rsidRDefault="008D4BE5" w:rsidP="00C8340D">
      <w:pPr>
        <w:pStyle w:val="Considrant"/>
      </w:pPr>
      <w:r>
        <w:t>Given the difficulty for enforcement authorities in catching hunters in the act of actually discharging gunshot, t</w:t>
      </w:r>
      <w:r w:rsidR="00B2272E">
        <w:t xml:space="preserve">he Commission </w:t>
      </w:r>
      <w:r>
        <w:t xml:space="preserve">agrees with the Agency that </w:t>
      </w:r>
      <w:r w:rsidR="006F0F2C">
        <w:t xml:space="preserve">the </w:t>
      </w:r>
      <w:r w:rsidR="00B2272E">
        <w:t xml:space="preserve">restriction should </w:t>
      </w:r>
      <w:r>
        <w:t xml:space="preserve">also </w:t>
      </w:r>
      <w:r w:rsidR="006F0F2C">
        <w:t xml:space="preserve">include </w:t>
      </w:r>
      <w:r w:rsidR="00B2272E">
        <w:t>the act of being in possession of lead gunshot</w:t>
      </w:r>
      <w:r>
        <w:t xml:space="preserve">. </w:t>
      </w:r>
      <w:r w:rsidR="007345DC">
        <w:t xml:space="preserve">This will </w:t>
      </w:r>
      <w:r w:rsidR="00CB28F0">
        <w:t xml:space="preserve">make </w:t>
      </w:r>
      <w:r w:rsidR="007345DC">
        <w:t xml:space="preserve">it possible to enforce </w:t>
      </w:r>
      <w:r w:rsidR="00B2272E">
        <w:t>the restriction on discharging gunshot</w:t>
      </w:r>
      <w:r>
        <w:t xml:space="preserve"> </w:t>
      </w:r>
      <w:r w:rsidR="007345DC">
        <w:t xml:space="preserve">far more effectively </w:t>
      </w:r>
      <w:r>
        <w:t xml:space="preserve">and </w:t>
      </w:r>
      <w:r w:rsidR="007345DC">
        <w:t xml:space="preserve">will </w:t>
      </w:r>
      <w:r>
        <w:t xml:space="preserve">therefore </w:t>
      </w:r>
      <w:r w:rsidR="00F243D6">
        <w:t xml:space="preserve">ensure </w:t>
      </w:r>
      <w:r>
        <w:t xml:space="preserve">the effectiveness of </w:t>
      </w:r>
      <w:r w:rsidR="007345DC">
        <w:t xml:space="preserve">the </w:t>
      </w:r>
      <w:r>
        <w:t xml:space="preserve">restriction in addressing the risks identified to the environment and human health. </w:t>
      </w:r>
    </w:p>
    <w:p w14:paraId="7DDCD0D6" w14:textId="50C2AF16" w:rsidR="00DF32EA" w:rsidRDefault="006F0F2C" w:rsidP="00C8340D">
      <w:pPr>
        <w:pStyle w:val="Considrant"/>
      </w:pPr>
      <w:r>
        <w:t>As noted in the RAC and SEAC opinions, a restriction on being in possession of lead gunshot should, however, apply specifically to possession whilst shooting, as opposed to possession in some other context, for example when transporting gunshot across wetlands for delivery elsewhere. The Commission considers</w:t>
      </w:r>
      <w:r w:rsidR="007345DC">
        <w:t>,</w:t>
      </w:r>
      <w:r>
        <w:t xml:space="preserve"> </w:t>
      </w:r>
      <w:r w:rsidR="007345DC">
        <w:t xml:space="preserve">moreover, </w:t>
      </w:r>
      <w:r>
        <w:t xml:space="preserve">that the </w:t>
      </w:r>
      <w:r w:rsidR="008D4BE5">
        <w:t xml:space="preserve">restriction </w:t>
      </w:r>
      <w:r>
        <w:t xml:space="preserve">on possession </w:t>
      </w:r>
      <w:r w:rsidR="008D4BE5">
        <w:t xml:space="preserve">should be directly linked to the </w:t>
      </w:r>
      <w:r w:rsidR="007345DC">
        <w:t xml:space="preserve">particular </w:t>
      </w:r>
      <w:r w:rsidR="008D4BE5">
        <w:t>type of shooting within the scope of the restriction (shooting</w:t>
      </w:r>
      <w:r>
        <w:t xml:space="preserve"> in or around wetlands</w:t>
      </w:r>
      <w:r w:rsidR="008D4BE5">
        <w:t>)</w:t>
      </w:r>
      <w:r w:rsidR="007345DC">
        <w:t>. This is</w:t>
      </w:r>
      <w:r w:rsidR="008D4BE5">
        <w:t xml:space="preserve"> in view of the fact that</w:t>
      </w:r>
      <w:r>
        <w:t xml:space="preserve"> </w:t>
      </w:r>
      <w:r w:rsidR="008D4BE5">
        <w:t>comments submitted during the public consultation on the Annex XV dossier</w:t>
      </w:r>
      <w:r w:rsidR="007345DC">
        <w:t xml:space="preserve"> indicated that</w:t>
      </w:r>
      <w:r w:rsidR="008D4BE5">
        <w:t xml:space="preserve">, </w:t>
      </w:r>
      <w:r w:rsidR="007345DC">
        <w:t xml:space="preserve">in some Member States, </w:t>
      </w:r>
      <w:r w:rsidR="008D4BE5">
        <w:t xml:space="preserve">hunters </w:t>
      </w:r>
      <w:r>
        <w:t xml:space="preserve">involved in other types of </w:t>
      </w:r>
      <w:r w:rsidR="008D4BE5">
        <w:t xml:space="preserve">shooting are </w:t>
      </w:r>
      <w:r>
        <w:t xml:space="preserve">quite </w:t>
      </w:r>
      <w:r w:rsidR="008D4BE5">
        <w:t xml:space="preserve">likely to walk through different types of terrain, wetlands as well as other terrains, on a typical day’s shooting. </w:t>
      </w:r>
      <w:r>
        <w:t>The Commission also considers that</w:t>
      </w:r>
      <w:r w:rsidR="008D4BE5">
        <w:t xml:space="preserve">, in order to </w:t>
      </w:r>
      <w:r>
        <w:t xml:space="preserve">aid </w:t>
      </w:r>
      <w:r w:rsidR="008D4BE5">
        <w:t xml:space="preserve">enforcement, the restriction on possession should </w:t>
      </w:r>
      <w:r>
        <w:t xml:space="preserve">cover </w:t>
      </w:r>
      <w:r w:rsidR="008D4BE5">
        <w:t xml:space="preserve">not only possession </w:t>
      </w:r>
      <w:r>
        <w:t xml:space="preserve">while out </w:t>
      </w:r>
      <w:r w:rsidR="008D4BE5">
        <w:t>wetland shooting, but also possession as part of going wetland shooting</w:t>
      </w:r>
      <w:r>
        <w:t>, in other words where there is a close connection with the actual shooting. This would cover</w:t>
      </w:r>
      <w:r w:rsidR="008D4BE5">
        <w:t>, for example</w:t>
      </w:r>
      <w:r>
        <w:t xml:space="preserve">, possession while </w:t>
      </w:r>
      <w:r w:rsidR="008D4BE5">
        <w:t xml:space="preserve">heading out </w:t>
      </w:r>
      <w:r>
        <w:t>on</w:t>
      </w:r>
      <w:r w:rsidR="007345DC">
        <w:t>,</w:t>
      </w:r>
      <w:r w:rsidR="008D4BE5">
        <w:t xml:space="preserve"> or returning home from</w:t>
      </w:r>
      <w:r w:rsidR="007345DC">
        <w:t>,</w:t>
      </w:r>
      <w:r w:rsidR="008D4BE5">
        <w:t xml:space="preserve"> a day’s wetland shooting</w:t>
      </w:r>
      <w:r>
        <w:t xml:space="preserve"> or possession by someone helping hunters on a shooting </w:t>
      </w:r>
      <w:r w:rsidR="007345DC">
        <w:t>expedition</w:t>
      </w:r>
      <w:r w:rsidR="008D4BE5">
        <w:t>.</w:t>
      </w:r>
    </w:p>
    <w:p w14:paraId="1B44AE16" w14:textId="4E8CD1A3" w:rsidR="00FD418A" w:rsidRDefault="00FD418A" w:rsidP="00562518">
      <w:pPr>
        <w:pStyle w:val="Considrant"/>
      </w:pPr>
      <w:r>
        <w:t>Given the practical difficulties in proving the particular type of shooting that a person found in possession of lead gunshot is intending to do, it is appropriate to establish a legal pr</w:t>
      </w:r>
      <w:r w:rsidRPr="00142BA6">
        <w:t>esumption that anyone found</w:t>
      </w:r>
      <w:r>
        <w:t xml:space="preserve"> in or around wetlands in possession of lead gunshot while out shooting, or as part of going shooting, is </w:t>
      </w:r>
      <w:r w:rsidRPr="00142BA6">
        <w:t xml:space="preserve">presumed to </w:t>
      </w:r>
      <w:r>
        <w:t>be in possession of that gunshot while out wetland shooting, or as part of going wetland shooting. In other words, it would be for that person to show that he or she was actually intending to go shooting elsewhere and was merely passing through the wetland area in order to go shooting elsewhere</w:t>
      </w:r>
      <w:r w:rsidR="00265550">
        <w:t>.</w:t>
      </w:r>
    </w:p>
    <w:p w14:paraId="34D73DB6" w14:textId="17DA505B" w:rsidR="00C8340D" w:rsidRPr="00C50902" w:rsidRDefault="006F0F2C" w:rsidP="00562518">
      <w:pPr>
        <w:pStyle w:val="Considrant"/>
      </w:pPr>
      <w:r>
        <w:t>As regards geographical scope, t</w:t>
      </w:r>
      <w:r w:rsidR="008D4BE5">
        <w:t xml:space="preserve">he Agency proposed that the restriction on discharging lead gunshot should apply not only in wetlands but also in areas where “spent gunshot would land within a wetland”. </w:t>
      </w:r>
      <w:r w:rsidR="00DF32EA">
        <w:t xml:space="preserve">The Commission </w:t>
      </w:r>
      <w:r w:rsidR="008D4BE5">
        <w:t xml:space="preserve">notes that there was some support in RAC for quantitatively defining a fixed buffer zone around wetlands (of, say, 300 metres) rather than relying on a test based on where spent gunshot would land. The Commission agrees that a fixed buffer zone is likely to make it easier to enforce the restriction. The restriction should therefore apply to discharging lead gunshot not only in wetlands but also in a fixed buffer zone around wetlands, defined quantitatively. </w:t>
      </w:r>
      <w:r w:rsidR="00CB28F0">
        <w:t xml:space="preserve">Given the nature of the identified risks to the environment and human health, the Commission considers it appropriate to proceed on the side of </w:t>
      </w:r>
      <w:r w:rsidR="007345DC">
        <w:t>c</w:t>
      </w:r>
      <w:r w:rsidR="00CB28F0">
        <w:t xml:space="preserve">aution in setting the size of the buffer zone. </w:t>
      </w:r>
      <w:r w:rsidR="007345DC">
        <w:t xml:space="preserve">The Commission notes that, </w:t>
      </w:r>
      <w:r w:rsidR="008D4BE5">
        <w:t xml:space="preserve">during </w:t>
      </w:r>
      <w:r w:rsidR="00DF32EA" w:rsidRPr="00C50902">
        <w:t xml:space="preserve">the public consultation </w:t>
      </w:r>
      <w:r w:rsidR="00142BA6">
        <w:t>on the Annex XV dossier</w:t>
      </w:r>
      <w:r w:rsidR="007345DC">
        <w:t>,</w:t>
      </w:r>
      <w:r w:rsidR="008D4BE5">
        <w:t xml:space="preserve"> </w:t>
      </w:r>
      <w:r w:rsidR="001D4D5A">
        <w:t xml:space="preserve">the German Environment Agency </w:t>
      </w:r>
      <w:r w:rsidR="007345DC">
        <w:t xml:space="preserve">suggested </w:t>
      </w:r>
      <w:r w:rsidR="001D4D5A">
        <w:t xml:space="preserve">that a safety zone of at least 500 metres around wetlands should be established to </w:t>
      </w:r>
      <w:r w:rsidR="007345DC">
        <w:t xml:space="preserve">address the risk of </w:t>
      </w:r>
      <w:r w:rsidR="001D4D5A">
        <w:t xml:space="preserve">lead gunshot </w:t>
      </w:r>
      <w:r w:rsidR="007345DC">
        <w:t xml:space="preserve">flying </w:t>
      </w:r>
      <w:r w:rsidR="001D4D5A">
        <w:t xml:space="preserve">into and </w:t>
      </w:r>
      <w:r w:rsidR="007345DC">
        <w:t xml:space="preserve">contaminating </w:t>
      </w:r>
      <w:r w:rsidR="001D4D5A">
        <w:t>wetlands</w:t>
      </w:r>
      <w:r w:rsidR="007345DC">
        <w:t>. The Commission also notes that</w:t>
      </w:r>
      <w:r w:rsidR="00DF32EA" w:rsidRPr="00C50902">
        <w:t xml:space="preserve"> legislation in the German state of Mecklenburg-Vorpommern </w:t>
      </w:r>
      <w:r w:rsidR="007345DC">
        <w:t xml:space="preserve">prohibits </w:t>
      </w:r>
      <w:r w:rsidR="00DF32EA" w:rsidRPr="00C50902">
        <w:t xml:space="preserve">the use of lead gunshot in a buffer zone of 400 metres enclosing </w:t>
      </w:r>
      <w:r w:rsidR="00C12480">
        <w:t>all</w:t>
      </w:r>
      <w:r w:rsidR="00DF32EA" w:rsidRPr="00C50902">
        <w:t xml:space="preserve"> type</w:t>
      </w:r>
      <w:r w:rsidR="00C12480">
        <w:t>s</w:t>
      </w:r>
      <w:r w:rsidR="00DF32EA" w:rsidRPr="00C50902">
        <w:t xml:space="preserve"> of wetland</w:t>
      </w:r>
      <w:r w:rsidR="00DF32EA">
        <w:t>.</w:t>
      </w:r>
      <w:r w:rsidR="007345DC">
        <w:t xml:space="preserve"> In view of these comments and considerations, the size of the fixed buffer zone should be set at 400 metres around wetlands.</w:t>
      </w:r>
    </w:p>
    <w:p w14:paraId="5410A011" w14:textId="659F46B6" w:rsidR="007B5756" w:rsidRPr="00142BA6" w:rsidRDefault="008D4BE5" w:rsidP="00265550">
      <w:pPr>
        <w:pStyle w:val="Considrant"/>
      </w:pPr>
      <w:r>
        <w:t xml:space="preserve">The Agency proposed that the restriction on being in possession of lead gunshot should be confined to possession </w:t>
      </w:r>
      <w:r w:rsidR="006F0F2C">
        <w:t xml:space="preserve">actually in </w:t>
      </w:r>
      <w:r>
        <w:t xml:space="preserve">wetlands. </w:t>
      </w:r>
      <w:r w:rsidR="007B5756" w:rsidRPr="00C12480">
        <w:t>RAC</w:t>
      </w:r>
      <w:r w:rsidR="00D12E73" w:rsidRPr="00C12480">
        <w:t xml:space="preserve"> noted </w:t>
      </w:r>
      <w:r>
        <w:t xml:space="preserve">in its opinion </w:t>
      </w:r>
      <w:r w:rsidR="00D12E73" w:rsidRPr="00C12480">
        <w:t xml:space="preserve">that </w:t>
      </w:r>
      <w:r>
        <w:t xml:space="preserve">a prohibition also on possession in </w:t>
      </w:r>
      <w:r w:rsidR="006F0F2C">
        <w:t xml:space="preserve">the </w:t>
      </w:r>
      <w:r>
        <w:t xml:space="preserve">fixed buffer zone around wetlands </w:t>
      </w:r>
      <w:r w:rsidR="00D12E73" w:rsidRPr="00C12480">
        <w:t xml:space="preserve">could </w:t>
      </w:r>
      <w:r w:rsidR="00562518">
        <w:t>improve enforcement</w:t>
      </w:r>
      <w:r w:rsidR="00D12E73" w:rsidRPr="00C12480">
        <w:t>.</w:t>
      </w:r>
      <w:r w:rsidR="00C12480">
        <w:t xml:space="preserve"> In view of the enforcement advantages </w:t>
      </w:r>
      <w:r w:rsidR="008C2122">
        <w:t>and effectiveness of the restriction</w:t>
      </w:r>
      <w:r w:rsidR="007345DC">
        <w:t xml:space="preserve"> as a </w:t>
      </w:r>
      <w:r w:rsidR="00C12480">
        <w:t xml:space="preserve">result </w:t>
      </w:r>
      <w:r w:rsidR="007345DC">
        <w:t xml:space="preserve">of not having </w:t>
      </w:r>
      <w:r w:rsidR="00C12480">
        <w:t xml:space="preserve">to catch </w:t>
      </w:r>
      <w:r>
        <w:t xml:space="preserve">hunters </w:t>
      </w:r>
      <w:r w:rsidR="00C12480">
        <w:t xml:space="preserve">in the actual act of discharging lead gunshot, the Commission considers it appropriate to </w:t>
      </w:r>
      <w:r>
        <w:t xml:space="preserve">apply the restriction on </w:t>
      </w:r>
      <w:r w:rsidR="00C12480">
        <w:t xml:space="preserve">being in possession of lead gunshot </w:t>
      </w:r>
      <w:r>
        <w:t xml:space="preserve">not only to possession in wetlands but also to possession </w:t>
      </w:r>
      <w:r w:rsidR="00C12480">
        <w:t>in the fixed buffer zone</w:t>
      </w:r>
      <w:r>
        <w:t xml:space="preserve"> around wetlands</w:t>
      </w:r>
      <w:r w:rsidR="00142BA6">
        <w:t>.</w:t>
      </w:r>
    </w:p>
    <w:p w14:paraId="1CD97D40" w14:textId="77777777" w:rsidR="00C8340D" w:rsidRPr="00C50902" w:rsidRDefault="00773331" w:rsidP="00C8340D">
      <w:pPr>
        <w:pStyle w:val="Considrant"/>
      </w:pPr>
      <w:r w:rsidRPr="00C50902">
        <w:t xml:space="preserve">As </w:t>
      </w:r>
      <w:r w:rsidR="00CB6A82" w:rsidRPr="00C50902">
        <w:t>gun</w:t>
      </w:r>
      <w:r w:rsidRPr="00C50902">
        <w:t xml:space="preserve">shot is generally not designed or placed on the market </w:t>
      </w:r>
      <w:r w:rsidR="000B71E7" w:rsidRPr="00C50902">
        <w:t>specifically</w:t>
      </w:r>
      <w:r w:rsidR="00CB6A82" w:rsidRPr="00C50902">
        <w:t xml:space="preserve"> or exclusively</w:t>
      </w:r>
      <w:r w:rsidR="000B71E7" w:rsidRPr="00C50902">
        <w:t xml:space="preserve"> </w:t>
      </w:r>
      <w:r w:rsidRPr="00C50902">
        <w:t xml:space="preserve">for use in </w:t>
      </w:r>
      <w:r w:rsidR="00FD418A">
        <w:t xml:space="preserve">or around </w:t>
      </w:r>
      <w:r w:rsidRPr="00C50902">
        <w:t>wetlands</w:t>
      </w:r>
      <w:r w:rsidR="00154814" w:rsidRPr="00C50902">
        <w:t xml:space="preserve">, </w:t>
      </w:r>
      <w:r w:rsidRPr="00C50902">
        <w:t xml:space="preserve">a </w:t>
      </w:r>
      <w:r w:rsidR="00F003D7" w:rsidRPr="00C50902">
        <w:t xml:space="preserve">restriction </w:t>
      </w:r>
      <w:r w:rsidR="00BC27D4" w:rsidRPr="00C50902">
        <w:t xml:space="preserve">on </w:t>
      </w:r>
      <w:r w:rsidRPr="00C50902">
        <w:t xml:space="preserve">the </w:t>
      </w:r>
      <w:r w:rsidR="00CB6A82" w:rsidRPr="00C50902">
        <w:t xml:space="preserve">placing on the market </w:t>
      </w:r>
      <w:r w:rsidRPr="00C50902">
        <w:t xml:space="preserve">of lead </w:t>
      </w:r>
      <w:r w:rsidR="00CB6A82" w:rsidRPr="00C50902">
        <w:t>gun</w:t>
      </w:r>
      <w:r w:rsidRPr="00C50902">
        <w:t>shot would</w:t>
      </w:r>
      <w:r w:rsidR="003333A1" w:rsidRPr="00C50902">
        <w:t xml:space="preserve"> affect </w:t>
      </w:r>
      <w:r w:rsidR="00FD418A">
        <w:t>shooting in all terrains</w:t>
      </w:r>
      <w:r w:rsidR="003333A1" w:rsidRPr="00C50902">
        <w:t>.</w:t>
      </w:r>
      <w:r w:rsidR="00F003D7" w:rsidRPr="00C50902">
        <w:t xml:space="preserve"> Therefore, the restriction should be limited </w:t>
      </w:r>
      <w:r w:rsidR="00DF32EA">
        <w:t>to the discharge</w:t>
      </w:r>
      <w:r w:rsidR="00C8340D" w:rsidRPr="00C50902">
        <w:t xml:space="preserve"> and being in possession</w:t>
      </w:r>
      <w:r w:rsidR="004A48CB" w:rsidRPr="00C50902">
        <w:t xml:space="preserve"> of</w:t>
      </w:r>
      <w:r w:rsidR="00C8340D" w:rsidRPr="00C50902">
        <w:t xml:space="preserve"> </w:t>
      </w:r>
      <w:r w:rsidR="00FD418A">
        <w:t xml:space="preserve">lead </w:t>
      </w:r>
      <w:r w:rsidR="004A48CB" w:rsidRPr="00C50902">
        <w:t>gunshot</w:t>
      </w:r>
      <w:r w:rsidR="00250327" w:rsidRPr="00C50902">
        <w:t>.</w:t>
      </w:r>
    </w:p>
    <w:p w14:paraId="5EA6C841" w14:textId="2F3A879C" w:rsidR="00C902C5" w:rsidRPr="00C8340D" w:rsidRDefault="00FD418A" w:rsidP="00C8340D">
      <w:pPr>
        <w:pStyle w:val="Considrant"/>
      </w:pPr>
      <w:r>
        <w:t xml:space="preserve">The restriction should apply to gunshot containing a </w:t>
      </w:r>
      <w:r w:rsidR="0064763E" w:rsidRPr="00C50902">
        <w:t xml:space="preserve">concentration </w:t>
      </w:r>
      <w:r>
        <w:t xml:space="preserve">of lead equal to or greater than </w:t>
      </w:r>
      <w:r w:rsidR="0064763E" w:rsidRPr="00C50902">
        <w:t>1%</w:t>
      </w:r>
      <w:r>
        <w:t xml:space="preserve">. 1% </w:t>
      </w:r>
      <w:r w:rsidR="0064763E" w:rsidRPr="008235B5">
        <w:t>is the concentration limit applied for the purposes of the</w:t>
      </w:r>
      <w:r w:rsidR="001140DB">
        <w:t xml:space="preserve"> </w:t>
      </w:r>
      <w:r w:rsidR="0064763E" w:rsidRPr="008235B5">
        <w:t xml:space="preserve">“non-toxic” gunshot approval process </w:t>
      </w:r>
      <w:r>
        <w:t xml:space="preserve">in the United States of America </w:t>
      </w:r>
      <w:r w:rsidR="0064763E" w:rsidRPr="008235B5">
        <w:t>in order to avoid a significant toxicity danger to migratory birds and other wildlife, or their habitats</w:t>
      </w:r>
      <w:r w:rsidR="00374FCB" w:rsidRPr="008235B5">
        <w:t xml:space="preserve">. </w:t>
      </w:r>
      <w:r w:rsidR="00DF32EA">
        <w:t>Moreover</w:t>
      </w:r>
      <w:r w:rsidR="0064763E" w:rsidRPr="008235B5">
        <w:t xml:space="preserve">, </w:t>
      </w:r>
      <w:r>
        <w:t xml:space="preserve">a </w:t>
      </w:r>
      <w:r w:rsidR="0064763E" w:rsidRPr="008235B5">
        <w:t xml:space="preserve">1% concentration </w:t>
      </w:r>
      <w:r>
        <w:t xml:space="preserve">threshold for the restriction </w:t>
      </w:r>
      <w:r w:rsidR="0064763E" w:rsidRPr="008235B5">
        <w:t xml:space="preserve">is considered to </w:t>
      </w:r>
      <w:r>
        <w:t xml:space="preserve">be </w:t>
      </w:r>
      <w:r w:rsidR="0064763E" w:rsidRPr="008235B5">
        <w:t xml:space="preserve">sufficient </w:t>
      </w:r>
      <w:r>
        <w:t xml:space="preserve">to </w:t>
      </w:r>
      <w:r w:rsidR="0064763E" w:rsidRPr="008235B5">
        <w:t xml:space="preserve">address the </w:t>
      </w:r>
      <w:r>
        <w:t xml:space="preserve">risks </w:t>
      </w:r>
      <w:r w:rsidR="0064763E" w:rsidRPr="008235B5">
        <w:t xml:space="preserve">posed by lead-containing shot material whilst </w:t>
      </w:r>
      <w:r>
        <w:t xml:space="preserve">also </w:t>
      </w:r>
      <w:r w:rsidR="0064763E" w:rsidRPr="008235B5">
        <w:t xml:space="preserve">being readily achievable by producers of alternative gunshot, </w:t>
      </w:r>
      <w:r>
        <w:t xml:space="preserve">given that </w:t>
      </w:r>
      <w:r w:rsidR="0064763E" w:rsidRPr="008235B5">
        <w:t>some of those alternatives are likely to contain lead as an impurity</w:t>
      </w:r>
      <w:r w:rsidR="00265550">
        <w:t>.</w:t>
      </w:r>
    </w:p>
    <w:p w14:paraId="3F5D54CF" w14:textId="77777777" w:rsidR="00D92620" w:rsidRDefault="00C4073B" w:rsidP="006B1D98">
      <w:pPr>
        <w:pStyle w:val="Considrant"/>
      </w:pPr>
      <w:r>
        <w:t xml:space="preserve">It is appropriate to mirror </w:t>
      </w:r>
      <w:r w:rsidR="00154814">
        <w:t>t</w:t>
      </w:r>
      <w:r w:rsidR="00CB6A82" w:rsidRPr="00576E02">
        <w:t xml:space="preserve">he definition </w:t>
      </w:r>
      <w:r w:rsidR="00154814">
        <w:t xml:space="preserve">of </w:t>
      </w:r>
      <w:r>
        <w:t>“</w:t>
      </w:r>
      <w:r w:rsidR="00154814">
        <w:t>wetlands</w:t>
      </w:r>
      <w:r>
        <w:t>”</w:t>
      </w:r>
      <w:r w:rsidR="00154814">
        <w:t xml:space="preserve"> </w:t>
      </w:r>
      <w:r>
        <w:t xml:space="preserve">used in </w:t>
      </w:r>
      <w:r w:rsidR="00CB6A82" w:rsidRPr="00576E02">
        <w:t xml:space="preserve">the Convention </w:t>
      </w:r>
      <w:r w:rsidR="00BD31DB">
        <w:t xml:space="preserve">on Wetlands of International Importance </w:t>
      </w:r>
      <w:r w:rsidR="00154814">
        <w:t>(Ramsar Convention</w:t>
      </w:r>
      <w:r w:rsidR="00154814" w:rsidRPr="004A0097">
        <w:t>)</w:t>
      </w:r>
      <w:r w:rsidR="00D9580A" w:rsidRPr="004A0097">
        <w:t xml:space="preserve"> signed in </w:t>
      </w:r>
      <w:r w:rsidR="00842616" w:rsidRPr="004A0097">
        <w:t>Ramsar</w:t>
      </w:r>
      <w:r w:rsidR="004A0097" w:rsidRPr="004A0097">
        <w:t xml:space="preserve"> </w:t>
      </w:r>
      <w:r w:rsidR="00D9580A" w:rsidRPr="004A0097">
        <w:t xml:space="preserve">on </w:t>
      </w:r>
      <w:r w:rsidR="00842616" w:rsidRPr="004A0097">
        <w:t>2 February 1971</w:t>
      </w:r>
      <w:r w:rsidR="00154814" w:rsidRPr="004A0097">
        <w:t xml:space="preserve"> </w:t>
      </w:r>
      <w:r w:rsidR="00D864FA" w:rsidRPr="004A0097">
        <w:t xml:space="preserve">for the purposes of </w:t>
      </w:r>
      <w:r w:rsidRPr="004A0097">
        <w:t>the restriction</w:t>
      </w:r>
      <w:r w:rsidR="00DF32EA">
        <w:t>, as</w:t>
      </w:r>
      <w:r w:rsidR="00AD3350" w:rsidRPr="004A0097">
        <w:t xml:space="preserve"> </w:t>
      </w:r>
      <w:r w:rsidR="00FD418A">
        <w:t xml:space="preserve">was </w:t>
      </w:r>
      <w:r w:rsidR="00BD31DB" w:rsidRPr="004A0097">
        <w:t>propo</w:t>
      </w:r>
      <w:r w:rsidR="00BD31DB">
        <w:t>sed by the Agency</w:t>
      </w:r>
      <w:r w:rsidR="00AC3D11">
        <w:t xml:space="preserve"> and confirmed in </w:t>
      </w:r>
      <w:r w:rsidR="000052A7">
        <w:t xml:space="preserve">the opinions of </w:t>
      </w:r>
      <w:r w:rsidR="00AC3D11">
        <w:t>RAC and SEAC</w:t>
      </w:r>
      <w:r w:rsidR="00F921AA">
        <w:t xml:space="preserve">, </w:t>
      </w:r>
      <w:r w:rsidR="00DF32EA">
        <w:t>since</w:t>
      </w:r>
      <w:r w:rsidR="00F921AA">
        <w:t xml:space="preserve"> that definition is comprehensive, </w:t>
      </w:r>
      <w:r w:rsidR="00E96863">
        <w:t xml:space="preserve">covering </w:t>
      </w:r>
      <w:r w:rsidR="00F921AA">
        <w:t xml:space="preserve">all types of wetlands </w:t>
      </w:r>
      <w:r w:rsidR="008C2122">
        <w:t xml:space="preserve">(including </w:t>
      </w:r>
      <w:r w:rsidR="00F921AA">
        <w:t xml:space="preserve"> peatlands</w:t>
      </w:r>
      <w:r w:rsidR="008C2122">
        <w:t>,</w:t>
      </w:r>
      <w:r w:rsidR="00F921AA">
        <w:t xml:space="preserve"> where many waterbirds are also found</w:t>
      </w:r>
      <w:r w:rsidR="00AC00E5">
        <w:t>,</w:t>
      </w:r>
      <w:r w:rsidR="00F921AA">
        <w:t xml:space="preserve"> and </w:t>
      </w:r>
      <w:r w:rsidR="00DF32EA">
        <w:t>since</w:t>
      </w:r>
      <w:r w:rsidR="00F921AA">
        <w:t xml:space="preserve"> the Ramsar Convention has also developed a classification system for wetland types to help </w:t>
      </w:r>
      <w:r w:rsidR="00FD418A">
        <w:t xml:space="preserve">in the identification of </w:t>
      </w:r>
      <w:r w:rsidR="00F921AA">
        <w:t>wetlands</w:t>
      </w:r>
      <w:r w:rsidR="00CF5D0B">
        <w:t>.</w:t>
      </w:r>
    </w:p>
    <w:p w14:paraId="7A8B51F4" w14:textId="0A06B415" w:rsidR="00D757C6" w:rsidRDefault="00D757C6" w:rsidP="00D757C6">
      <w:pPr>
        <w:pStyle w:val="Considrant"/>
      </w:pPr>
      <w:r w:rsidRPr="00A54B55">
        <w:t xml:space="preserve">Stakeholders should be allowed sufficient time to take appropriate measures to comply with the restriction and Member States </w:t>
      </w:r>
      <w:r>
        <w:t xml:space="preserve">should be allowed sufficient time </w:t>
      </w:r>
      <w:r w:rsidRPr="00A54B55">
        <w:t>to prepare for its enforcement</w:t>
      </w:r>
      <w:r>
        <w:t>.</w:t>
      </w:r>
      <w:r w:rsidR="005B0C3E">
        <w:t xml:space="preserve"> </w:t>
      </w:r>
      <w:r w:rsidR="007345DC">
        <w:t>T</w:t>
      </w:r>
      <w:r w:rsidRPr="00A54B55">
        <w:t xml:space="preserve">aking into account the </w:t>
      </w:r>
      <w:r>
        <w:t xml:space="preserve">views expressed by RAC and </w:t>
      </w:r>
      <w:r w:rsidRPr="00A54B55">
        <w:t>SEAC</w:t>
      </w:r>
      <w:r>
        <w:t xml:space="preserve"> regarding the feasibility and appropriateness of a shorter transitional period than the </w:t>
      </w:r>
      <w:r w:rsidR="007345DC">
        <w:t xml:space="preserve">three years </w:t>
      </w:r>
      <w:r>
        <w:t>proposed by the Agency</w:t>
      </w:r>
      <w:r w:rsidRPr="00A54B55">
        <w:t>,</w:t>
      </w:r>
      <w:r>
        <w:t xml:space="preserve"> and taking account particularly of the estimated impact each year of introducing more lead into wetlands through the use of lead gunshot, </w:t>
      </w:r>
      <w:r w:rsidR="007345DC">
        <w:t xml:space="preserve">application </w:t>
      </w:r>
      <w:r w:rsidR="001D4D5A">
        <w:t xml:space="preserve">of the </w:t>
      </w:r>
      <w:r w:rsidRPr="00A54B55">
        <w:t xml:space="preserve">restriction should be deferred for </w:t>
      </w:r>
      <w:r w:rsidR="00FD418A">
        <w:t xml:space="preserve">only </w:t>
      </w:r>
      <w:r w:rsidRPr="00BD7EC8">
        <w:t>18</w:t>
      </w:r>
      <w:r>
        <w:t xml:space="preserve"> months</w:t>
      </w:r>
      <w:r w:rsidRPr="00A54B55">
        <w:t>.</w:t>
      </w:r>
    </w:p>
    <w:p w14:paraId="4DD3E5CA" w14:textId="490F37FF" w:rsidR="00096873" w:rsidRDefault="00FD418A" w:rsidP="00096873">
      <w:pPr>
        <w:pStyle w:val="Considrant"/>
      </w:pPr>
      <w:r>
        <w:t xml:space="preserve">In September 2018, the Agency published the results of </w:t>
      </w:r>
      <w:r w:rsidR="002130C9">
        <w:t>an investigation report</w:t>
      </w:r>
      <w:r w:rsidR="00252B1B">
        <w:rPr>
          <w:rStyle w:val="FootnoteReference"/>
        </w:rPr>
        <w:footnoteReference w:id="7"/>
      </w:r>
      <w:r w:rsidR="002130C9">
        <w:t xml:space="preserve"> reviewing the available information on </w:t>
      </w:r>
      <w:r w:rsidR="000125AA">
        <w:t xml:space="preserve">various uses of </w:t>
      </w:r>
      <w:r w:rsidR="002130C9">
        <w:t>lead</w:t>
      </w:r>
      <w:r w:rsidR="000125AA">
        <w:t xml:space="preserve"> including, among other</w:t>
      </w:r>
      <w:r w:rsidR="007345DC">
        <w:t xml:space="preserve"> thing</w:t>
      </w:r>
      <w:r w:rsidR="000125AA">
        <w:t xml:space="preserve">s, </w:t>
      </w:r>
      <w:r w:rsidR="002130C9">
        <w:t xml:space="preserve">in shot used in terrestrial environments. Since the </w:t>
      </w:r>
      <w:r w:rsidR="00601B46">
        <w:t>investigation report found, inter alia,</w:t>
      </w:r>
      <w:r w:rsidR="002130C9">
        <w:t xml:space="preserve"> that</w:t>
      </w:r>
      <w:r w:rsidR="00705916">
        <w:t xml:space="preserve"> </w:t>
      </w:r>
      <w:r w:rsidR="00601B46">
        <w:t>the available information suggest</w:t>
      </w:r>
      <w:r>
        <w:t>ed</w:t>
      </w:r>
      <w:r w:rsidR="00601B46">
        <w:t xml:space="preserve"> that the use of lead gunshot in terrestrial areas </w:t>
      </w:r>
      <w:r>
        <w:t xml:space="preserve">posed </w:t>
      </w:r>
      <w:r w:rsidR="00601B46">
        <w:t>a risk to both human health and the environment</w:t>
      </w:r>
      <w:r w:rsidR="002130C9">
        <w:t xml:space="preserve">, the Commission requested the Agency </w:t>
      </w:r>
      <w:r>
        <w:t>in 201</w:t>
      </w:r>
      <w:r w:rsidR="00645FA5">
        <w:t>9</w:t>
      </w:r>
      <w:r>
        <w:t xml:space="preserve"> </w:t>
      </w:r>
      <w:r w:rsidR="002130C9">
        <w:t xml:space="preserve">to prepare an Annex XV </w:t>
      </w:r>
      <w:r w:rsidR="00250327">
        <w:t>dossier</w:t>
      </w:r>
      <w:r w:rsidR="002130C9">
        <w:t xml:space="preserve"> </w:t>
      </w:r>
      <w:r>
        <w:t xml:space="preserve">with a </w:t>
      </w:r>
      <w:r w:rsidR="002130C9">
        <w:t xml:space="preserve">view </w:t>
      </w:r>
      <w:r>
        <w:t xml:space="preserve">to </w:t>
      </w:r>
      <w:r w:rsidR="002130C9">
        <w:t>a possible restriction on</w:t>
      </w:r>
      <w:r w:rsidR="008123C2">
        <w:t xml:space="preserve"> </w:t>
      </w:r>
      <w:r>
        <w:t xml:space="preserve">the </w:t>
      </w:r>
      <w:r w:rsidR="002130C9">
        <w:t>placing on the market and use</w:t>
      </w:r>
      <w:r>
        <w:t xml:space="preserve"> of lead in ammunition and in fishing tackle</w:t>
      </w:r>
      <w:r w:rsidR="000C68A7">
        <w:rPr>
          <w:rStyle w:val="FootnoteReference"/>
        </w:rPr>
        <w:footnoteReference w:id="8"/>
      </w:r>
      <w:r w:rsidR="000C68A7">
        <w:t>.</w:t>
      </w:r>
    </w:p>
    <w:p w14:paraId="552362CE" w14:textId="77777777" w:rsidR="00B46585" w:rsidRPr="00C50902" w:rsidRDefault="00FD418A" w:rsidP="00B46585">
      <w:pPr>
        <w:pStyle w:val="Considrant"/>
      </w:pPr>
      <w:r>
        <w:t>Moreover, i</w:t>
      </w:r>
      <w:r w:rsidR="00B46585">
        <w:t>n their opinions</w:t>
      </w:r>
      <w:r>
        <w:t xml:space="preserve"> on the Annex XV dossier on the use of lead gunshot for shooting in wetlands</w:t>
      </w:r>
      <w:r w:rsidR="00B46585">
        <w:t xml:space="preserve">, RAC and SEAC indicated their agreement with the Agency’s view that a </w:t>
      </w:r>
      <w:r w:rsidR="00B46585" w:rsidRPr="000207A9">
        <w:t>ban</w:t>
      </w:r>
      <w:r w:rsidR="00B46585">
        <w:t xml:space="preserve"> on the placing on the market and use of lead gunshot in </w:t>
      </w:r>
      <w:r>
        <w:t xml:space="preserve">all </w:t>
      </w:r>
      <w:r w:rsidR="00B46585">
        <w:t>terrains would result in a higher level of environmental protection and would be more effective from the point of view of p</w:t>
      </w:r>
      <w:r w:rsidR="002B7384">
        <w:t xml:space="preserve">racticality and </w:t>
      </w:r>
      <w:r w:rsidR="002B7384" w:rsidRPr="00C50902">
        <w:t>enforceability.</w:t>
      </w:r>
    </w:p>
    <w:p w14:paraId="49924C4E" w14:textId="0E832CC0" w:rsidR="00FD418A" w:rsidRDefault="00D757C6" w:rsidP="00730DE9">
      <w:pPr>
        <w:pStyle w:val="Considrant"/>
      </w:pPr>
      <w:r w:rsidRPr="00C50902">
        <w:t xml:space="preserve">In </w:t>
      </w:r>
      <w:r w:rsidR="00FD418A">
        <w:t xml:space="preserve">some </w:t>
      </w:r>
      <w:r w:rsidR="00A70EE3" w:rsidRPr="00C50902">
        <w:t>Member States</w:t>
      </w:r>
      <w:r w:rsidR="00FD418A">
        <w:t xml:space="preserve">, the restriction </w:t>
      </w:r>
      <w:r w:rsidR="007345DC">
        <w:t xml:space="preserve">introduced by this Regulation </w:t>
      </w:r>
      <w:r w:rsidR="00FD418A">
        <w:t xml:space="preserve">may give rise to particular difficulties due to the specific geographical conditions in that Member State. For Member States with a significant proportion of wetlands in their territory, </w:t>
      </w:r>
      <w:r w:rsidR="00CB28F0">
        <w:t xml:space="preserve">a ban on discharging and being in possession of lead gunshot in and around wetlands could in </w:t>
      </w:r>
      <w:r w:rsidR="007345DC">
        <w:t xml:space="preserve">practice have a similar </w:t>
      </w:r>
      <w:r w:rsidR="00CB28F0">
        <w:t xml:space="preserve">effect </w:t>
      </w:r>
      <w:r w:rsidR="007345DC">
        <w:t xml:space="preserve">to </w:t>
      </w:r>
      <w:r w:rsidR="00CB28F0">
        <w:t>a total ban on all shooting across the whole territory</w:t>
      </w:r>
      <w:r w:rsidR="007345DC">
        <w:t xml:space="preserve"> since hunters of all kinds would almost inevitably find themselves frequently in or near wetlands</w:t>
      </w:r>
      <w:r w:rsidR="00CB28F0">
        <w:t xml:space="preserve">. Moreover, </w:t>
      </w:r>
      <w:r w:rsidR="0032259E" w:rsidRPr="00C50902">
        <w:t xml:space="preserve">the </w:t>
      </w:r>
      <w:r w:rsidRPr="00C50902">
        <w:t xml:space="preserve">resources </w:t>
      </w:r>
      <w:r w:rsidR="0032259E" w:rsidRPr="00C50902">
        <w:t xml:space="preserve">that would have to be </w:t>
      </w:r>
      <w:r w:rsidR="001E4997" w:rsidRPr="00C50902">
        <w:t>devot</w:t>
      </w:r>
      <w:r w:rsidR="0032259E" w:rsidRPr="00C50902">
        <w:t>ed to t</w:t>
      </w:r>
      <w:r w:rsidRPr="00C50902">
        <w:t xml:space="preserve">he enforcement of </w:t>
      </w:r>
      <w:r w:rsidR="0032259E" w:rsidRPr="00C50902">
        <w:t>a</w:t>
      </w:r>
      <w:r w:rsidRPr="00C50902">
        <w:t xml:space="preserve"> restriction targeted </w:t>
      </w:r>
      <w:r w:rsidR="0032259E" w:rsidRPr="00C50902">
        <w:t xml:space="preserve">only </w:t>
      </w:r>
      <w:r w:rsidR="00FD418A">
        <w:t xml:space="preserve">at areas in and around </w:t>
      </w:r>
      <w:r w:rsidRPr="00C50902">
        <w:t xml:space="preserve">wetlands </w:t>
      </w:r>
      <w:r w:rsidR="00FD418A">
        <w:t xml:space="preserve">may not be </w:t>
      </w:r>
      <w:r w:rsidR="007345DC">
        <w:t xml:space="preserve">much </w:t>
      </w:r>
      <w:r w:rsidR="00F243D6">
        <w:t>smaller</w:t>
      </w:r>
      <w:r w:rsidR="00FD418A">
        <w:t>, and may indeed be greater</w:t>
      </w:r>
      <w:r w:rsidR="007345DC">
        <w:t>,</w:t>
      </w:r>
      <w:r w:rsidR="00FD418A">
        <w:t xml:space="preserve"> than the resources needed to enforce </w:t>
      </w:r>
      <w:r w:rsidR="0032259E" w:rsidRPr="00C50902">
        <w:t xml:space="preserve">a restriction covering </w:t>
      </w:r>
      <w:r w:rsidR="00FD418A">
        <w:t xml:space="preserve">their </w:t>
      </w:r>
      <w:r w:rsidR="0032259E" w:rsidRPr="00C50902">
        <w:t xml:space="preserve">territory </w:t>
      </w:r>
      <w:r w:rsidR="00FD418A">
        <w:t>as a whole.</w:t>
      </w:r>
    </w:p>
    <w:p w14:paraId="0C863384" w14:textId="7092BEC6" w:rsidR="001E4997" w:rsidRPr="00C50902" w:rsidRDefault="00FD418A" w:rsidP="00730DE9">
      <w:pPr>
        <w:pStyle w:val="Considrant"/>
      </w:pPr>
      <w:r>
        <w:t>Given the difficulties described in the preceding recital</w:t>
      </w:r>
      <w:r w:rsidR="007345DC">
        <w:t>,</w:t>
      </w:r>
      <w:r w:rsidR="00CB28F0">
        <w:t xml:space="preserve"> the need for the measure to be </w:t>
      </w:r>
      <w:r w:rsidR="007345DC">
        <w:t xml:space="preserve">not only </w:t>
      </w:r>
      <w:r w:rsidR="00CB28F0">
        <w:t xml:space="preserve">effective, but </w:t>
      </w:r>
      <w:r w:rsidR="007345DC">
        <w:t xml:space="preserve">also </w:t>
      </w:r>
      <w:r w:rsidR="00CB28F0">
        <w:t>simple and fair on the hunting community as a whole</w:t>
      </w:r>
      <w:r>
        <w:t xml:space="preserve">, and </w:t>
      </w:r>
      <w:r w:rsidR="007345DC">
        <w:t xml:space="preserve">also </w:t>
      </w:r>
      <w:r>
        <w:t xml:space="preserve">the </w:t>
      </w:r>
      <w:r w:rsidR="00F243D6">
        <w:t xml:space="preserve">results of the </w:t>
      </w:r>
      <w:r>
        <w:t xml:space="preserve">Agency’s investigation report and the views of RAC </w:t>
      </w:r>
      <w:r w:rsidR="00265550">
        <w:t xml:space="preserve">and SEAC summarised in recital </w:t>
      </w:r>
      <w:r>
        <w:t>(2</w:t>
      </w:r>
      <w:r w:rsidR="00265550">
        <w:t>7)</w:t>
      </w:r>
      <w:r>
        <w:t xml:space="preserve">, </w:t>
      </w:r>
      <w:r w:rsidR="007345DC">
        <w:t xml:space="preserve">the Commission considers that those </w:t>
      </w:r>
      <w:r w:rsidR="00A70EE3" w:rsidRPr="00C50902">
        <w:t xml:space="preserve">Member States </w:t>
      </w:r>
      <w:r w:rsidR="000002C0" w:rsidRPr="00C50902">
        <w:t xml:space="preserve">where such </w:t>
      </w:r>
      <w:r>
        <w:t xml:space="preserve">difficulties are likely to arise </w:t>
      </w:r>
      <w:r w:rsidR="00F94E6C" w:rsidRPr="00C50902">
        <w:t>should be given the option to impose a different restriction</w:t>
      </w:r>
      <w:r w:rsidR="00AF0F64" w:rsidRPr="00C50902">
        <w:t xml:space="preserve"> in their territory</w:t>
      </w:r>
      <w:r>
        <w:t xml:space="preserve"> </w:t>
      </w:r>
      <w:r w:rsidR="007345DC">
        <w:t xml:space="preserve">which would prohibit </w:t>
      </w:r>
      <w:r w:rsidR="00F94E6C" w:rsidRPr="00C50902">
        <w:t xml:space="preserve">both </w:t>
      </w:r>
      <w:r w:rsidR="00A70EE3" w:rsidRPr="00C50902">
        <w:t xml:space="preserve">the placing on the market </w:t>
      </w:r>
      <w:r w:rsidR="00D75B85" w:rsidRPr="00C50902">
        <w:t xml:space="preserve">of lead gunshot, </w:t>
      </w:r>
      <w:r w:rsidR="00A70EE3" w:rsidRPr="00C50902">
        <w:t xml:space="preserve">and </w:t>
      </w:r>
      <w:r>
        <w:t xml:space="preserve">also </w:t>
      </w:r>
      <w:r w:rsidR="00D75B85" w:rsidRPr="00C50902">
        <w:t xml:space="preserve">the </w:t>
      </w:r>
      <w:r w:rsidR="00DF32EA">
        <w:t>discharging</w:t>
      </w:r>
      <w:r w:rsidR="000002C0" w:rsidRPr="00C50902">
        <w:t xml:space="preserve"> and being </w:t>
      </w:r>
      <w:r w:rsidR="00562518">
        <w:t xml:space="preserve">in </w:t>
      </w:r>
      <w:r w:rsidR="000002C0" w:rsidRPr="00C50902">
        <w:t>possession</w:t>
      </w:r>
      <w:r w:rsidR="00A70EE3" w:rsidRPr="00C50902">
        <w:t xml:space="preserve"> of lead gunshot</w:t>
      </w:r>
      <w:r w:rsidR="000002C0" w:rsidRPr="00C50902">
        <w:t xml:space="preserve"> throughout</w:t>
      </w:r>
      <w:r w:rsidR="00A70EE3" w:rsidRPr="00C50902">
        <w:t xml:space="preserve"> their </w:t>
      </w:r>
      <w:r w:rsidR="00AF0F64" w:rsidRPr="00C50902">
        <w:t>territory</w:t>
      </w:r>
      <w:r w:rsidR="0082321B" w:rsidRPr="00C50902">
        <w:t xml:space="preserve">, whether </w:t>
      </w:r>
      <w:r>
        <w:t xml:space="preserve">in </w:t>
      </w:r>
      <w:r w:rsidR="0082321B" w:rsidRPr="00C50902">
        <w:t xml:space="preserve">wetlands or </w:t>
      </w:r>
      <w:r>
        <w:t>elsewhere</w:t>
      </w:r>
      <w:r w:rsidR="007345DC">
        <w:t>, in connection with any type of shooting</w:t>
      </w:r>
      <w:r w:rsidR="007B5756">
        <w:t>.</w:t>
      </w:r>
    </w:p>
    <w:p w14:paraId="13730701" w14:textId="30DF351B" w:rsidR="00FD418A" w:rsidRDefault="00FD418A" w:rsidP="00562518">
      <w:pPr>
        <w:pStyle w:val="Considrant"/>
      </w:pPr>
      <w:r>
        <w:t>In the interests of legal certainty, it is important to identify clearly the Members States who are to be eligible to make use of that option if they want. The option should be available to those Member States where at least 20% of their territory is made up of wetland areas. A 20% threshold equates broadly speaking to those Member States who are likely to experience the dif</w:t>
      </w:r>
      <w:r w:rsidR="00265550">
        <w:t xml:space="preserve">ficulties described in recital </w:t>
      </w:r>
      <w:r>
        <w:t>(2</w:t>
      </w:r>
      <w:r w:rsidR="00265550">
        <w:t>8)</w:t>
      </w:r>
      <w:r>
        <w:t>.</w:t>
      </w:r>
    </w:p>
    <w:p w14:paraId="3EE05FBF" w14:textId="22EA2033" w:rsidR="00FD418A" w:rsidRDefault="00FD418A" w:rsidP="00562518">
      <w:pPr>
        <w:pStyle w:val="Considrant"/>
      </w:pPr>
      <w:r>
        <w:t>S</w:t>
      </w:r>
      <w:r w:rsidR="00F94E6C">
        <w:t xml:space="preserve">ince </w:t>
      </w:r>
      <w:r>
        <w:t xml:space="preserve">the </w:t>
      </w:r>
      <w:r w:rsidR="00F94E6C">
        <w:t xml:space="preserve">restriction </w:t>
      </w:r>
      <w:r>
        <w:t xml:space="preserve">that could be imposed by those Member States making use of the option </w:t>
      </w:r>
      <w:r w:rsidR="00F94E6C">
        <w:t>would be more stringent</w:t>
      </w:r>
      <w:r w:rsidR="00A92666">
        <w:t xml:space="preserve"> than the one limited to </w:t>
      </w:r>
      <w:r>
        <w:t xml:space="preserve">areas in and around </w:t>
      </w:r>
      <w:r w:rsidR="00A92666">
        <w:t>wetlands</w:t>
      </w:r>
      <w:r w:rsidR="00F94E6C">
        <w:t xml:space="preserve">, it is appropriate to set a longer transitional period </w:t>
      </w:r>
      <w:r>
        <w:t xml:space="preserve">for the introduction of that restriction. That longer transitional period should be set at </w:t>
      </w:r>
      <w:r w:rsidR="00F94E6C">
        <w:t>36 months</w:t>
      </w:r>
      <w:r w:rsidR="001E4997">
        <w:t xml:space="preserve">, which corresponds to the </w:t>
      </w:r>
      <w:r>
        <w:t>transitional period originally suggested by the Agency in the Annex XV dossier</w:t>
      </w:r>
      <w:r w:rsidR="00994139">
        <w:t>.</w:t>
      </w:r>
      <w:r w:rsidR="000002C0">
        <w:t xml:space="preserve"> </w:t>
      </w:r>
    </w:p>
    <w:p w14:paraId="40C5E692" w14:textId="77777777" w:rsidR="000002C0" w:rsidRDefault="00A70EE3" w:rsidP="00562518">
      <w:pPr>
        <w:pStyle w:val="Considrant"/>
      </w:pPr>
      <w:r>
        <w:t xml:space="preserve">For reasons of </w:t>
      </w:r>
      <w:r w:rsidR="0082321B">
        <w:t xml:space="preserve">transparency and </w:t>
      </w:r>
      <w:r>
        <w:t xml:space="preserve">legal certainty, </w:t>
      </w:r>
      <w:r w:rsidR="0082321B">
        <w:t xml:space="preserve">the Member States making use of </w:t>
      </w:r>
      <w:r w:rsidR="00FD418A">
        <w:t xml:space="preserve">the </w:t>
      </w:r>
      <w:r w:rsidR="00F94E6C">
        <w:t xml:space="preserve">option </w:t>
      </w:r>
      <w:r w:rsidR="0082321B">
        <w:t xml:space="preserve">should </w:t>
      </w:r>
      <w:r w:rsidR="00F94E6C">
        <w:t xml:space="preserve">be required to </w:t>
      </w:r>
      <w:r w:rsidR="009679A2">
        <w:t>notify</w:t>
      </w:r>
      <w:r w:rsidR="00F94E6C">
        <w:t xml:space="preserve"> </w:t>
      </w:r>
      <w:r w:rsidR="00FD418A">
        <w:t xml:space="preserve">the Commission of </w:t>
      </w:r>
      <w:r w:rsidR="00F94E6C">
        <w:t xml:space="preserve">their intention and </w:t>
      </w:r>
      <w:r w:rsidR="009679A2">
        <w:t>to communicate</w:t>
      </w:r>
      <w:r w:rsidR="00F94E6C">
        <w:t xml:space="preserve"> the measures adopted by them to give effect to it</w:t>
      </w:r>
      <w:r w:rsidR="001659FE">
        <w:t xml:space="preserve"> within certain deadlines</w:t>
      </w:r>
      <w:r w:rsidR="00F94E6C">
        <w:t xml:space="preserve">, </w:t>
      </w:r>
      <w:r w:rsidR="0082321B">
        <w:t>and the Commission should make</w:t>
      </w:r>
      <w:r w:rsidR="009679A2">
        <w:t xml:space="preserve"> the notices of intention as well as </w:t>
      </w:r>
      <w:r w:rsidR="001659FE">
        <w:t>copies of the adopted national measures</w:t>
      </w:r>
      <w:r w:rsidR="0082321B">
        <w:t xml:space="preserve"> publicly available</w:t>
      </w:r>
      <w:r w:rsidR="007B5756">
        <w:t xml:space="preserve"> without delay</w:t>
      </w:r>
      <w:r>
        <w:t>.</w:t>
      </w:r>
    </w:p>
    <w:p w14:paraId="032B541F" w14:textId="77777777" w:rsidR="00C4513C" w:rsidRDefault="009162CB" w:rsidP="00562518">
      <w:pPr>
        <w:pStyle w:val="Considrant"/>
      </w:pPr>
      <w:r w:rsidRPr="00F57A98">
        <w:t>Regulation (EC) No 1907/2006 should therefore be amended accordingly</w:t>
      </w:r>
      <w:r>
        <w:t>.</w:t>
      </w:r>
    </w:p>
    <w:p w14:paraId="3046DE03" w14:textId="77777777" w:rsidR="009162CB" w:rsidRDefault="009162CB" w:rsidP="009162CB">
      <w:pPr>
        <w:pStyle w:val="Considrant"/>
      </w:pPr>
      <w:r w:rsidRPr="00F57A98">
        <w:t xml:space="preserve">The measures provided for in this Regulation are in accordance with the opinion of the Committee established </w:t>
      </w:r>
      <w:r w:rsidR="00D36A5E">
        <w:t xml:space="preserve">by </w:t>
      </w:r>
      <w:r w:rsidRPr="00F57A98">
        <w:t>Article 133 of Regulation (EC) No 1907/2006</w:t>
      </w:r>
      <w:r w:rsidR="00163356">
        <w:t>,</w:t>
      </w:r>
    </w:p>
    <w:p w14:paraId="29BFEE23" w14:textId="77777777" w:rsidR="0019272C" w:rsidRPr="00A01AA1" w:rsidRDefault="0019272C" w:rsidP="00562518">
      <w:pPr>
        <w:pStyle w:val="Formuledadoption"/>
      </w:pPr>
      <w:r w:rsidRPr="00A01AA1">
        <w:t>HAS ADOPTED THIS REGULATION:</w:t>
      </w:r>
    </w:p>
    <w:p w14:paraId="431F856A" w14:textId="77777777" w:rsidR="0019272C" w:rsidRPr="00A01AA1" w:rsidRDefault="0019272C" w:rsidP="00562518">
      <w:pPr>
        <w:pStyle w:val="Titrearticle"/>
      </w:pPr>
      <w:r w:rsidRPr="00A01AA1">
        <w:t>Article 1</w:t>
      </w:r>
    </w:p>
    <w:p w14:paraId="2B4DFF0A" w14:textId="77777777" w:rsidR="0019272C" w:rsidRPr="0019272C" w:rsidRDefault="0019272C" w:rsidP="0019272C">
      <w:r w:rsidRPr="0019272C">
        <w:t>Annex XVII to Regulation (EC) No 1907/2006 is amended in accordance wit</w:t>
      </w:r>
      <w:r w:rsidR="003E01A5">
        <w:t>h the Annex to this Regulation.</w:t>
      </w:r>
    </w:p>
    <w:p w14:paraId="6A3DD9B4" w14:textId="77777777" w:rsidR="0019272C" w:rsidRPr="00A01AA1" w:rsidRDefault="0019272C" w:rsidP="00562518">
      <w:pPr>
        <w:pStyle w:val="Titrearticle"/>
      </w:pPr>
      <w:r w:rsidRPr="00A01AA1">
        <w:t xml:space="preserve">Article </w:t>
      </w:r>
      <w:r>
        <w:t>2</w:t>
      </w:r>
    </w:p>
    <w:p w14:paraId="61D5BBA2" w14:textId="77777777" w:rsidR="00026C42" w:rsidRDefault="0019272C" w:rsidP="0019272C">
      <w:r w:rsidRPr="0019272C">
        <w:t xml:space="preserve">This Regulation shall enter into force on the twentieth day following that of its publication in the </w:t>
      </w:r>
      <w:r w:rsidRPr="0019272C">
        <w:rPr>
          <w:i/>
        </w:rPr>
        <w:t>Official Journal of the European Union</w:t>
      </w:r>
      <w:r w:rsidRPr="0019272C">
        <w:t>.</w:t>
      </w:r>
    </w:p>
    <w:p w14:paraId="5F8C2F9C" w14:textId="77777777" w:rsidR="0019272C" w:rsidRDefault="0019272C" w:rsidP="0019272C">
      <w:r w:rsidRPr="0019272C">
        <w:t>This Regulation shall be binding in its entirety and directly applicable in all Member States.</w:t>
      </w:r>
    </w:p>
    <w:p w14:paraId="200B53E2" w14:textId="6D21C5DA" w:rsidR="0019272C" w:rsidRDefault="00B90A54" w:rsidP="00B90A54">
      <w:pPr>
        <w:pStyle w:val="Fait"/>
      </w:pPr>
      <w:r w:rsidRPr="00B90A54">
        <w:t>Done at Brussels,</w:t>
      </w:r>
    </w:p>
    <w:p w14:paraId="6D9DC144" w14:textId="77777777" w:rsidR="00AC4492" w:rsidRDefault="0019272C" w:rsidP="00AC4492">
      <w:pPr>
        <w:pStyle w:val="Institutionquisigne"/>
      </w:pPr>
      <w:r w:rsidRPr="0019272C">
        <w:tab/>
      </w:r>
      <w:r w:rsidR="00AC4492" w:rsidRPr="009706DE">
        <w:t>For the Commission</w:t>
      </w:r>
    </w:p>
    <w:p w14:paraId="580C486F" w14:textId="77777777" w:rsidR="00AC4492" w:rsidRPr="0098040C" w:rsidRDefault="00AC4492" w:rsidP="00AC4492">
      <w:pPr>
        <w:pStyle w:val="Personnequisigne"/>
      </w:pPr>
      <w:r w:rsidRPr="009706DE">
        <w:tab/>
        <w:t>The President</w:t>
      </w:r>
      <w:r w:rsidRPr="009706DE">
        <w:br/>
      </w:r>
      <w:r w:rsidRPr="009706DE">
        <w:tab/>
      </w:r>
      <w:r w:rsidRPr="0098040C">
        <w:t>Jean-Claude Juncker</w:t>
      </w:r>
    </w:p>
    <w:sectPr w:rsidR="00AC4492" w:rsidRPr="0098040C" w:rsidSect="0043456D">
      <w:footerReference w:type="default" r:id="rId15"/>
      <w:footerReference w:type="first" r:id="rId16"/>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1087" w14:textId="77777777" w:rsidR="002F1083" w:rsidRDefault="002F1083" w:rsidP="0019272C">
      <w:pPr>
        <w:spacing w:before="0" w:after="0"/>
      </w:pPr>
      <w:r>
        <w:separator/>
      </w:r>
    </w:p>
  </w:endnote>
  <w:endnote w:type="continuationSeparator" w:id="0">
    <w:p w14:paraId="0261FC05" w14:textId="77777777" w:rsidR="002F1083" w:rsidRDefault="002F1083" w:rsidP="0019272C">
      <w:pPr>
        <w:spacing w:before="0" w:after="0"/>
      </w:pPr>
      <w:r>
        <w:continuationSeparator/>
      </w:r>
    </w:p>
  </w:endnote>
  <w:endnote w:type="continuationNotice" w:id="1">
    <w:p w14:paraId="2567102F" w14:textId="77777777" w:rsidR="002F1083" w:rsidRDefault="002F10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671F" w14:textId="77777777" w:rsidR="00B90A54" w:rsidRPr="0043456D" w:rsidRDefault="00B90A54" w:rsidP="0043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F720" w14:textId="5E8F3CF0" w:rsidR="00E25949" w:rsidRPr="0043456D" w:rsidRDefault="0043456D" w:rsidP="0043456D">
    <w:pPr>
      <w:pStyle w:val="Footer"/>
      <w:rPr>
        <w:rFonts w:ascii="Arial" w:hAnsi="Arial" w:cs="Arial"/>
        <w:b/>
        <w:sz w:val="48"/>
      </w:rPr>
    </w:pPr>
    <w:r w:rsidRPr="0043456D">
      <w:rPr>
        <w:rFonts w:ascii="Arial" w:hAnsi="Arial" w:cs="Arial"/>
        <w:b/>
        <w:sz w:val="48"/>
      </w:rPr>
      <w:t>EN</w:t>
    </w:r>
    <w:r w:rsidRPr="0043456D">
      <w:rPr>
        <w:rFonts w:ascii="Arial" w:hAnsi="Arial" w:cs="Arial"/>
        <w:b/>
        <w:sz w:val="48"/>
      </w:rPr>
      <w:tab/>
    </w:r>
    <w:r w:rsidRPr="0043456D">
      <w:rPr>
        <w:rFonts w:ascii="Arial" w:hAnsi="Arial" w:cs="Arial"/>
        <w:b/>
        <w:sz w:val="48"/>
      </w:rPr>
      <w:tab/>
    </w:r>
    <w:r w:rsidRPr="0043456D">
      <w:tab/>
    </w:r>
    <w:r w:rsidRPr="0043456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33BB" w14:textId="77777777" w:rsidR="00B90A54" w:rsidRPr="0043456D" w:rsidRDefault="00B90A54" w:rsidP="004345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A8F1" w14:textId="356259BD" w:rsidR="0043456D" w:rsidRPr="0043456D" w:rsidRDefault="0043456D" w:rsidP="0043456D">
    <w:pPr>
      <w:pStyle w:val="Footer"/>
      <w:rPr>
        <w:rFonts w:ascii="Arial" w:hAnsi="Arial" w:cs="Arial"/>
        <w:b/>
        <w:sz w:val="48"/>
      </w:rPr>
    </w:pPr>
    <w:r w:rsidRPr="0043456D">
      <w:rPr>
        <w:rFonts w:ascii="Arial" w:hAnsi="Arial" w:cs="Arial"/>
        <w:b/>
        <w:sz w:val="48"/>
      </w:rPr>
      <w:t>EN</w:t>
    </w:r>
    <w:r w:rsidRPr="0043456D">
      <w:rPr>
        <w:rFonts w:ascii="Arial" w:hAnsi="Arial" w:cs="Arial"/>
        <w:b/>
        <w:sz w:val="48"/>
      </w:rPr>
      <w:tab/>
    </w:r>
    <w:r>
      <w:fldChar w:fldCharType="begin"/>
    </w:r>
    <w:r>
      <w:instrText xml:space="preserve"> PAGE  \* MERGEFORMAT </w:instrText>
    </w:r>
    <w:r>
      <w:fldChar w:fldCharType="separate"/>
    </w:r>
    <w:r w:rsidR="000B00E1">
      <w:rPr>
        <w:noProof/>
      </w:rPr>
      <w:t>1</w:t>
    </w:r>
    <w:r>
      <w:fldChar w:fldCharType="end"/>
    </w:r>
    <w:r>
      <w:tab/>
    </w:r>
    <w:r w:rsidRPr="0043456D">
      <w:tab/>
    </w:r>
    <w:r w:rsidRPr="0043456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1873" w14:textId="77777777" w:rsidR="0043456D" w:rsidRPr="0043456D" w:rsidRDefault="0043456D" w:rsidP="0043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AF3D" w14:textId="77777777" w:rsidR="002F1083" w:rsidRDefault="002F1083" w:rsidP="0019272C">
      <w:pPr>
        <w:spacing w:before="0" w:after="0"/>
      </w:pPr>
      <w:r>
        <w:separator/>
      </w:r>
    </w:p>
  </w:footnote>
  <w:footnote w:type="continuationSeparator" w:id="0">
    <w:p w14:paraId="2D3C4482" w14:textId="77777777" w:rsidR="002F1083" w:rsidRDefault="002F1083" w:rsidP="0019272C">
      <w:pPr>
        <w:spacing w:before="0" w:after="0"/>
      </w:pPr>
      <w:r>
        <w:continuationSeparator/>
      </w:r>
    </w:p>
  </w:footnote>
  <w:footnote w:type="continuationNotice" w:id="1">
    <w:p w14:paraId="00EBE31C" w14:textId="77777777" w:rsidR="002F1083" w:rsidRDefault="002F1083">
      <w:pPr>
        <w:spacing w:before="0" w:after="0"/>
      </w:pPr>
    </w:p>
  </w:footnote>
  <w:footnote w:id="2">
    <w:p w14:paraId="78B880F6" w14:textId="77777777" w:rsidR="00562518" w:rsidRPr="00E833AD" w:rsidRDefault="00562518" w:rsidP="0019272C">
      <w:pPr>
        <w:pStyle w:val="FootnoteText"/>
        <w:rPr>
          <w:lang w:val="pl-PL"/>
        </w:rPr>
      </w:pPr>
      <w:r w:rsidRPr="00756A3A">
        <w:rPr>
          <w:rStyle w:val="FootnoteReference"/>
        </w:rPr>
        <w:footnoteRef/>
      </w:r>
      <w:r w:rsidRPr="00E833AD">
        <w:rPr>
          <w:lang w:val="pl-PL"/>
        </w:rPr>
        <w:tab/>
        <w:t>OJ L 396, 30.12.2006, p 1.</w:t>
      </w:r>
    </w:p>
  </w:footnote>
  <w:footnote w:id="3">
    <w:p w14:paraId="4D58438D" w14:textId="5C345578" w:rsidR="000C68A7" w:rsidRPr="000C68A7" w:rsidRDefault="000C68A7">
      <w:pPr>
        <w:pStyle w:val="FootnoteText"/>
        <w:rPr>
          <w:lang w:val="pl-PL"/>
        </w:rPr>
      </w:pPr>
      <w:r>
        <w:rPr>
          <w:rStyle w:val="FootnoteReference"/>
        </w:rPr>
        <w:footnoteRef/>
      </w:r>
      <w:r w:rsidRPr="000C68A7">
        <w:rPr>
          <w:lang w:val="pl-PL"/>
        </w:rPr>
        <w:tab/>
      </w:r>
      <w:hyperlink r:id="rId1" w:history="1">
        <w:r w:rsidRPr="00D718E9">
          <w:rPr>
            <w:rStyle w:val="Hyperlink"/>
            <w:lang w:val="pl-PL"/>
          </w:rPr>
          <w:t>https://www.unep-aewa.org/sites/default/files/basic_page_documents/agreement_text_english_final.pdf</w:t>
        </w:r>
      </w:hyperlink>
    </w:p>
  </w:footnote>
  <w:footnote w:id="4">
    <w:p w14:paraId="3A86D54D" w14:textId="4FF2B8F1" w:rsidR="000C68A7" w:rsidRPr="000C68A7" w:rsidRDefault="000C68A7">
      <w:pPr>
        <w:pStyle w:val="FootnoteText"/>
        <w:rPr>
          <w:lang w:val="en-IE"/>
        </w:rPr>
      </w:pPr>
      <w:r>
        <w:rPr>
          <w:rStyle w:val="FootnoteReference"/>
        </w:rPr>
        <w:footnoteRef/>
      </w:r>
      <w:r w:rsidRPr="000C68A7">
        <w:rPr>
          <w:lang w:val="en-IE"/>
        </w:rPr>
        <w:tab/>
      </w:r>
      <w:r>
        <w:t>Directive 2009/147/EC of the European Parliament and of the Council of 30 November 2009 on the conservation of wild birds (OJ L 20, 26.01.2010, p.7).</w:t>
      </w:r>
    </w:p>
  </w:footnote>
  <w:footnote w:id="5">
    <w:p w14:paraId="3DF782E5" w14:textId="77777777" w:rsidR="00562518" w:rsidRPr="00E833AD" w:rsidRDefault="00562518" w:rsidP="00B8069F">
      <w:pPr>
        <w:pStyle w:val="FootnoteText"/>
        <w:rPr>
          <w:i/>
          <w:lang w:val="pl-PL"/>
        </w:rPr>
      </w:pPr>
      <w:r w:rsidRPr="000B2A7C">
        <w:rPr>
          <w:rStyle w:val="FootnoteReference"/>
        </w:rPr>
        <w:footnoteRef/>
      </w:r>
      <w:r w:rsidRPr="00E833AD">
        <w:rPr>
          <w:lang w:val="pl-PL"/>
        </w:rPr>
        <w:tab/>
      </w:r>
      <w:hyperlink r:id="rId2" w:history="1">
        <w:r w:rsidRPr="00933306">
          <w:rPr>
            <w:rStyle w:val="Hyperlink"/>
            <w:lang w:val="pl-PL"/>
          </w:rPr>
          <w:t>https://echa.europa.eu/documents/10162/6ef877d5-94b7-a8f8-1c49-8c07c894fff7</w:t>
        </w:r>
      </w:hyperlink>
      <w:r>
        <w:fldChar w:fldCharType="begin"/>
      </w:r>
      <w:r w:rsidRPr="008235B5">
        <w:rPr>
          <w:lang w:val="pl-PL"/>
        </w:rPr>
        <w:instrText xml:space="preserve">https://echa.europa.eu/documents/10162/6ef877d5-94b7-a8f8-1c49-8c07c894fff7" </w:instrText>
      </w:r>
      <w:r>
        <w:fldChar w:fldCharType="separate"/>
      </w:r>
      <w:r w:rsidRPr="00933306">
        <w:rPr>
          <w:rStyle w:val="Hyperlink"/>
          <w:lang w:val="pl-PL"/>
        </w:rPr>
        <w:t>https://echa.europa.eu/documents/10162/6ef877d5-94b7-a8f8-1c49-8c07c894fff7</w:t>
      </w:r>
      <w:r>
        <w:rPr>
          <w:rStyle w:val="Hyperlink"/>
          <w:lang w:val="pl-PL"/>
        </w:rPr>
        <w:fldChar w:fldCharType="end"/>
      </w:r>
    </w:p>
  </w:footnote>
  <w:footnote w:id="6">
    <w:p w14:paraId="5B655C30" w14:textId="77777777" w:rsidR="00562518" w:rsidRPr="00B8069F" w:rsidRDefault="00562518">
      <w:pPr>
        <w:pStyle w:val="FootnoteText"/>
        <w:rPr>
          <w:lang w:val="pl-PL"/>
        </w:rPr>
      </w:pPr>
      <w:r w:rsidRPr="00F44E3E">
        <w:rPr>
          <w:rStyle w:val="FootnoteReference"/>
        </w:rPr>
        <w:footnoteRef/>
      </w:r>
      <w:r w:rsidRPr="00204238">
        <w:rPr>
          <w:lang w:val="pl-PL"/>
        </w:rPr>
        <w:tab/>
      </w:r>
      <w:r w:rsidRPr="00B8069F">
        <w:rPr>
          <w:rStyle w:val="Hyperlink"/>
          <w:lang w:val="pl-PL"/>
        </w:rPr>
        <w:t>https://echa.europa.eu/documents/10162/b092e670-3266-fb5d-6296-544eaccb5d4a</w:t>
      </w:r>
    </w:p>
  </w:footnote>
  <w:footnote w:id="7">
    <w:p w14:paraId="7430C416" w14:textId="60F475BE" w:rsidR="00252B1B" w:rsidRPr="00252B1B" w:rsidRDefault="00252B1B">
      <w:pPr>
        <w:pStyle w:val="FootnoteText"/>
        <w:rPr>
          <w:lang w:val="pl-PL"/>
        </w:rPr>
      </w:pPr>
      <w:r>
        <w:rPr>
          <w:rStyle w:val="FootnoteReference"/>
        </w:rPr>
        <w:footnoteRef/>
      </w:r>
      <w:r w:rsidRPr="00252B1B">
        <w:rPr>
          <w:lang w:val="pl-PL"/>
        </w:rPr>
        <w:tab/>
      </w:r>
      <w:hyperlink r:id="rId3" w:history="1">
        <w:r w:rsidRPr="00266AFD">
          <w:rPr>
            <w:rStyle w:val="Hyperlink"/>
            <w:lang w:val="pl-PL"/>
          </w:rPr>
          <w:t>https://echa.europa.eu/documents/10162/13641/lead_ammunition_investigation_report_en.pdf</w:t>
        </w:r>
      </w:hyperlink>
    </w:p>
  </w:footnote>
  <w:footnote w:id="8">
    <w:p w14:paraId="46568D75" w14:textId="10AFEE1E" w:rsidR="000C68A7" w:rsidRPr="000C68A7" w:rsidRDefault="000C68A7" w:rsidP="005B0C3E">
      <w:pPr>
        <w:pStyle w:val="FootnoteText"/>
        <w:rPr>
          <w:lang w:val="pl-PL"/>
        </w:rPr>
      </w:pPr>
      <w:r>
        <w:rPr>
          <w:rStyle w:val="FootnoteReference"/>
        </w:rPr>
        <w:footnoteRef/>
      </w:r>
      <w:r w:rsidRPr="000C68A7">
        <w:rPr>
          <w:lang w:val="pl-PL"/>
        </w:rPr>
        <w:tab/>
      </w:r>
      <w:hyperlink r:id="rId4" w:history="1">
        <w:r w:rsidR="005B0C3E" w:rsidRPr="00CC0D43">
          <w:rPr>
            <w:rStyle w:val="Hyperlink"/>
            <w:lang w:val="pl-PL"/>
          </w:rPr>
          <w:t>https://echa.europa.eu/documents/10162/13641/rest_lead_ammunition_COM_request_en.pdf/f607c957-807a-3b7c-07ae-01151001d939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E70B" w14:textId="77777777" w:rsidR="00B90A54" w:rsidRPr="0043456D" w:rsidRDefault="00B90A54" w:rsidP="00434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53E6" w14:textId="77777777" w:rsidR="00B90A54" w:rsidRPr="0043456D" w:rsidRDefault="00B90A54" w:rsidP="0043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B7F9" w14:textId="77777777" w:rsidR="00B90A54" w:rsidRPr="0043456D" w:rsidRDefault="00B90A54" w:rsidP="0043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D20D62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00CF48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6F8459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4CE64A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AE1BB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78568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D09A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AA0C1C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30 11:33: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VERPAGE_EXISTS" w:val="True"/>
    <w:docVar w:name="LW_COVERPAGE_GUID" w:val="DB110BC6-4F8C-44BB-9A8E-DB5AA87D3A28"/>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D064660/01 "/>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concerning the Registration, Evaluation, Authorisation and Restriction of Chemicals (REACH) as regards lead in gunshot in or around wetlands"/>
    <w:docVar w:name="LW_TYPE.DOC.CP" w:val="COMMISSION REGULATION (EU) \u8230?/\u8230?"/>
  </w:docVars>
  <w:rsids>
    <w:rsidRoot w:val="0019272C"/>
    <w:rsid w:val="000002C0"/>
    <w:rsid w:val="00000380"/>
    <w:rsid w:val="000028FE"/>
    <w:rsid w:val="000052A7"/>
    <w:rsid w:val="000057A9"/>
    <w:rsid w:val="00005B8C"/>
    <w:rsid w:val="00005C29"/>
    <w:rsid w:val="00011394"/>
    <w:rsid w:val="000120DF"/>
    <w:rsid w:val="000125AA"/>
    <w:rsid w:val="00015AC2"/>
    <w:rsid w:val="00017271"/>
    <w:rsid w:val="000207A9"/>
    <w:rsid w:val="000259CF"/>
    <w:rsid w:val="00026C42"/>
    <w:rsid w:val="00027BF3"/>
    <w:rsid w:val="00027C8E"/>
    <w:rsid w:val="00032F28"/>
    <w:rsid w:val="00034A2D"/>
    <w:rsid w:val="0003694B"/>
    <w:rsid w:val="00036D30"/>
    <w:rsid w:val="00037672"/>
    <w:rsid w:val="00037B67"/>
    <w:rsid w:val="000419FB"/>
    <w:rsid w:val="00041BF3"/>
    <w:rsid w:val="00042CBC"/>
    <w:rsid w:val="0004403D"/>
    <w:rsid w:val="00054557"/>
    <w:rsid w:val="00054690"/>
    <w:rsid w:val="00057C5D"/>
    <w:rsid w:val="000601E0"/>
    <w:rsid w:val="00060E55"/>
    <w:rsid w:val="00064597"/>
    <w:rsid w:val="0006580F"/>
    <w:rsid w:val="00065987"/>
    <w:rsid w:val="00066B27"/>
    <w:rsid w:val="00066D49"/>
    <w:rsid w:val="00066FC7"/>
    <w:rsid w:val="000702A7"/>
    <w:rsid w:val="00071EF2"/>
    <w:rsid w:val="00073AFF"/>
    <w:rsid w:val="00074EE2"/>
    <w:rsid w:val="00084E75"/>
    <w:rsid w:val="00085C9B"/>
    <w:rsid w:val="000875F4"/>
    <w:rsid w:val="00093312"/>
    <w:rsid w:val="00096873"/>
    <w:rsid w:val="000A02F9"/>
    <w:rsid w:val="000A13A0"/>
    <w:rsid w:val="000A1C7B"/>
    <w:rsid w:val="000A2150"/>
    <w:rsid w:val="000A675F"/>
    <w:rsid w:val="000A6E3A"/>
    <w:rsid w:val="000A731E"/>
    <w:rsid w:val="000B00E1"/>
    <w:rsid w:val="000B1867"/>
    <w:rsid w:val="000B2A7C"/>
    <w:rsid w:val="000B6526"/>
    <w:rsid w:val="000B71E7"/>
    <w:rsid w:val="000B7A84"/>
    <w:rsid w:val="000C1C59"/>
    <w:rsid w:val="000C2478"/>
    <w:rsid w:val="000C3239"/>
    <w:rsid w:val="000C3949"/>
    <w:rsid w:val="000C4C81"/>
    <w:rsid w:val="000C5B77"/>
    <w:rsid w:val="000C68A7"/>
    <w:rsid w:val="000C7E15"/>
    <w:rsid w:val="000D0621"/>
    <w:rsid w:val="000D2A0E"/>
    <w:rsid w:val="000D3B73"/>
    <w:rsid w:val="000D60D2"/>
    <w:rsid w:val="000D6ABC"/>
    <w:rsid w:val="000E000A"/>
    <w:rsid w:val="000E16C3"/>
    <w:rsid w:val="000E1C40"/>
    <w:rsid w:val="000E28B9"/>
    <w:rsid w:val="000E4612"/>
    <w:rsid w:val="000E4798"/>
    <w:rsid w:val="000E51D1"/>
    <w:rsid w:val="000E6EC6"/>
    <w:rsid w:val="000E7041"/>
    <w:rsid w:val="000F182B"/>
    <w:rsid w:val="000F3183"/>
    <w:rsid w:val="000F336E"/>
    <w:rsid w:val="000F4733"/>
    <w:rsid w:val="000F6AB6"/>
    <w:rsid w:val="000F6D07"/>
    <w:rsid w:val="00100E28"/>
    <w:rsid w:val="00101F0C"/>
    <w:rsid w:val="00105407"/>
    <w:rsid w:val="0011161E"/>
    <w:rsid w:val="00111804"/>
    <w:rsid w:val="001120C7"/>
    <w:rsid w:val="001126EF"/>
    <w:rsid w:val="00112F04"/>
    <w:rsid w:val="001140DB"/>
    <w:rsid w:val="00116CDE"/>
    <w:rsid w:val="0011732A"/>
    <w:rsid w:val="001208AE"/>
    <w:rsid w:val="001238A5"/>
    <w:rsid w:val="0012400C"/>
    <w:rsid w:val="00125295"/>
    <w:rsid w:val="00126BBB"/>
    <w:rsid w:val="00127CF1"/>
    <w:rsid w:val="00132D70"/>
    <w:rsid w:val="001341C0"/>
    <w:rsid w:val="00136201"/>
    <w:rsid w:val="001375C8"/>
    <w:rsid w:val="00137C6B"/>
    <w:rsid w:val="00137EEB"/>
    <w:rsid w:val="00142BA6"/>
    <w:rsid w:val="001440EC"/>
    <w:rsid w:val="00145F1C"/>
    <w:rsid w:val="0014672E"/>
    <w:rsid w:val="00147066"/>
    <w:rsid w:val="00154814"/>
    <w:rsid w:val="00160C85"/>
    <w:rsid w:val="00163356"/>
    <w:rsid w:val="001633B3"/>
    <w:rsid w:val="00164E23"/>
    <w:rsid w:val="001659FE"/>
    <w:rsid w:val="00171635"/>
    <w:rsid w:val="001743BF"/>
    <w:rsid w:val="00174A6A"/>
    <w:rsid w:val="001752FD"/>
    <w:rsid w:val="00177D03"/>
    <w:rsid w:val="0018003A"/>
    <w:rsid w:val="00180321"/>
    <w:rsid w:val="00185D7C"/>
    <w:rsid w:val="00187166"/>
    <w:rsid w:val="00190C60"/>
    <w:rsid w:val="0019272C"/>
    <w:rsid w:val="001932B5"/>
    <w:rsid w:val="00194D80"/>
    <w:rsid w:val="00195CDA"/>
    <w:rsid w:val="0019787B"/>
    <w:rsid w:val="00197E0B"/>
    <w:rsid w:val="001A204D"/>
    <w:rsid w:val="001A53F6"/>
    <w:rsid w:val="001A62F9"/>
    <w:rsid w:val="001A6687"/>
    <w:rsid w:val="001A6A5A"/>
    <w:rsid w:val="001A7C18"/>
    <w:rsid w:val="001B1289"/>
    <w:rsid w:val="001B2C36"/>
    <w:rsid w:val="001B63B4"/>
    <w:rsid w:val="001C0C47"/>
    <w:rsid w:val="001C1D7B"/>
    <w:rsid w:val="001C2A0D"/>
    <w:rsid w:val="001C2CB2"/>
    <w:rsid w:val="001C42E5"/>
    <w:rsid w:val="001C5E96"/>
    <w:rsid w:val="001C7E44"/>
    <w:rsid w:val="001D0DBC"/>
    <w:rsid w:val="001D49C7"/>
    <w:rsid w:val="001D4D5A"/>
    <w:rsid w:val="001D5528"/>
    <w:rsid w:val="001D767F"/>
    <w:rsid w:val="001E0EF7"/>
    <w:rsid w:val="001E2E57"/>
    <w:rsid w:val="001E3B55"/>
    <w:rsid w:val="001E4997"/>
    <w:rsid w:val="001E52B8"/>
    <w:rsid w:val="001E5B4C"/>
    <w:rsid w:val="001E5F0E"/>
    <w:rsid w:val="001E6447"/>
    <w:rsid w:val="001E6995"/>
    <w:rsid w:val="001E7A0E"/>
    <w:rsid w:val="001E7CA1"/>
    <w:rsid w:val="001F330E"/>
    <w:rsid w:val="001F3AAF"/>
    <w:rsid w:val="001F4C4C"/>
    <w:rsid w:val="001F671B"/>
    <w:rsid w:val="001F7615"/>
    <w:rsid w:val="00200A25"/>
    <w:rsid w:val="00200DD9"/>
    <w:rsid w:val="00201336"/>
    <w:rsid w:val="00201A42"/>
    <w:rsid w:val="00201E91"/>
    <w:rsid w:val="00203C07"/>
    <w:rsid w:val="00203CB3"/>
    <w:rsid w:val="00204238"/>
    <w:rsid w:val="00204A24"/>
    <w:rsid w:val="002071F1"/>
    <w:rsid w:val="00210F51"/>
    <w:rsid w:val="00212F7E"/>
    <w:rsid w:val="002130C9"/>
    <w:rsid w:val="00221DB2"/>
    <w:rsid w:val="0022420A"/>
    <w:rsid w:val="00224EFA"/>
    <w:rsid w:val="0022570D"/>
    <w:rsid w:val="002278E5"/>
    <w:rsid w:val="00227BC7"/>
    <w:rsid w:val="00230C7B"/>
    <w:rsid w:val="00232B35"/>
    <w:rsid w:val="0023307A"/>
    <w:rsid w:val="00234EC3"/>
    <w:rsid w:val="0023727C"/>
    <w:rsid w:val="00237D35"/>
    <w:rsid w:val="0024093A"/>
    <w:rsid w:val="00243BB6"/>
    <w:rsid w:val="00250327"/>
    <w:rsid w:val="00251FE8"/>
    <w:rsid w:val="00252B1B"/>
    <w:rsid w:val="00255589"/>
    <w:rsid w:val="00255BC6"/>
    <w:rsid w:val="002574FB"/>
    <w:rsid w:val="00260F08"/>
    <w:rsid w:val="00262462"/>
    <w:rsid w:val="00263084"/>
    <w:rsid w:val="002641F6"/>
    <w:rsid w:val="00265550"/>
    <w:rsid w:val="00270ED1"/>
    <w:rsid w:val="00272733"/>
    <w:rsid w:val="00272A17"/>
    <w:rsid w:val="00272F21"/>
    <w:rsid w:val="00273175"/>
    <w:rsid w:val="00282995"/>
    <w:rsid w:val="00282F12"/>
    <w:rsid w:val="00284E1A"/>
    <w:rsid w:val="002868BC"/>
    <w:rsid w:val="002869E5"/>
    <w:rsid w:val="00287E26"/>
    <w:rsid w:val="00291857"/>
    <w:rsid w:val="002919B0"/>
    <w:rsid w:val="002967E2"/>
    <w:rsid w:val="0029698D"/>
    <w:rsid w:val="002971FD"/>
    <w:rsid w:val="00297314"/>
    <w:rsid w:val="002A4AB6"/>
    <w:rsid w:val="002A4D64"/>
    <w:rsid w:val="002A540A"/>
    <w:rsid w:val="002B45AE"/>
    <w:rsid w:val="002B6925"/>
    <w:rsid w:val="002B7384"/>
    <w:rsid w:val="002C07E0"/>
    <w:rsid w:val="002C0B0B"/>
    <w:rsid w:val="002C1493"/>
    <w:rsid w:val="002C2B95"/>
    <w:rsid w:val="002C3C9E"/>
    <w:rsid w:val="002C4669"/>
    <w:rsid w:val="002C54BA"/>
    <w:rsid w:val="002D3C29"/>
    <w:rsid w:val="002D7DAD"/>
    <w:rsid w:val="002E2201"/>
    <w:rsid w:val="002E247E"/>
    <w:rsid w:val="002E2CFE"/>
    <w:rsid w:val="002E4269"/>
    <w:rsid w:val="002E52BE"/>
    <w:rsid w:val="002E5DB1"/>
    <w:rsid w:val="002F07ED"/>
    <w:rsid w:val="002F1083"/>
    <w:rsid w:val="002F5704"/>
    <w:rsid w:val="002F5F41"/>
    <w:rsid w:val="002F7452"/>
    <w:rsid w:val="002F7D82"/>
    <w:rsid w:val="00301CF1"/>
    <w:rsid w:val="00302B8C"/>
    <w:rsid w:val="00305873"/>
    <w:rsid w:val="003060DD"/>
    <w:rsid w:val="00306E6C"/>
    <w:rsid w:val="0030796A"/>
    <w:rsid w:val="00307FDE"/>
    <w:rsid w:val="00313B3B"/>
    <w:rsid w:val="00314759"/>
    <w:rsid w:val="00314783"/>
    <w:rsid w:val="003159A2"/>
    <w:rsid w:val="00315CCF"/>
    <w:rsid w:val="0031651C"/>
    <w:rsid w:val="0031679C"/>
    <w:rsid w:val="0032259E"/>
    <w:rsid w:val="0032389C"/>
    <w:rsid w:val="00324B78"/>
    <w:rsid w:val="003252DF"/>
    <w:rsid w:val="00330A70"/>
    <w:rsid w:val="0033189E"/>
    <w:rsid w:val="00332A94"/>
    <w:rsid w:val="003333A1"/>
    <w:rsid w:val="00340A3F"/>
    <w:rsid w:val="0034445E"/>
    <w:rsid w:val="003458C7"/>
    <w:rsid w:val="00345DF9"/>
    <w:rsid w:val="00347851"/>
    <w:rsid w:val="00350EC8"/>
    <w:rsid w:val="00354069"/>
    <w:rsid w:val="003604D1"/>
    <w:rsid w:val="00360F6F"/>
    <w:rsid w:val="00362925"/>
    <w:rsid w:val="00362982"/>
    <w:rsid w:val="00363080"/>
    <w:rsid w:val="0036517E"/>
    <w:rsid w:val="00365DC0"/>
    <w:rsid w:val="003708A6"/>
    <w:rsid w:val="00373277"/>
    <w:rsid w:val="00374FCB"/>
    <w:rsid w:val="0037516B"/>
    <w:rsid w:val="00381709"/>
    <w:rsid w:val="00382A20"/>
    <w:rsid w:val="003858CF"/>
    <w:rsid w:val="00390749"/>
    <w:rsid w:val="003943CB"/>
    <w:rsid w:val="00395361"/>
    <w:rsid w:val="003A00D9"/>
    <w:rsid w:val="003A17E8"/>
    <w:rsid w:val="003A49B7"/>
    <w:rsid w:val="003A4E2D"/>
    <w:rsid w:val="003B1058"/>
    <w:rsid w:val="003B11B2"/>
    <w:rsid w:val="003B43B4"/>
    <w:rsid w:val="003C030F"/>
    <w:rsid w:val="003C2108"/>
    <w:rsid w:val="003C2D0A"/>
    <w:rsid w:val="003C33DE"/>
    <w:rsid w:val="003D003D"/>
    <w:rsid w:val="003D252B"/>
    <w:rsid w:val="003D27BD"/>
    <w:rsid w:val="003D4FE0"/>
    <w:rsid w:val="003D6101"/>
    <w:rsid w:val="003D6982"/>
    <w:rsid w:val="003E01A5"/>
    <w:rsid w:val="003E3F0D"/>
    <w:rsid w:val="003E5596"/>
    <w:rsid w:val="003E660A"/>
    <w:rsid w:val="003E6B2C"/>
    <w:rsid w:val="003F481F"/>
    <w:rsid w:val="003F5DF9"/>
    <w:rsid w:val="003F61FD"/>
    <w:rsid w:val="003F63ED"/>
    <w:rsid w:val="0040075E"/>
    <w:rsid w:val="00407AA9"/>
    <w:rsid w:val="0041124D"/>
    <w:rsid w:val="00414B17"/>
    <w:rsid w:val="004214DC"/>
    <w:rsid w:val="00421993"/>
    <w:rsid w:val="004310F4"/>
    <w:rsid w:val="00431F3B"/>
    <w:rsid w:val="004331E4"/>
    <w:rsid w:val="0043456D"/>
    <w:rsid w:val="00434844"/>
    <w:rsid w:val="00437333"/>
    <w:rsid w:val="0043763C"/>
    <w:rsid w:val="00437835"/>
    <w:rsid w:val="00440DA4"/>
    <w:rsid w:val="00443290"/>
    <w:rsid w:val="00451166"/>
    <w:rsid w:val="004511DD"/>
    <w:rsid w:val="00452C52"/>
    <w:rsid w:val="004534BE"/>
    <w:rsid w:val="004536ED"/>
    <w:rsid w:val="00456686"/>
    <w:rsid w:val="00456DE3"/>
    <w:rsid w:val="004607AF"/>
    <w:rsid w:val="00466CD4"/>
    <w:rsid w:val="00471233"/>
    <w:rsid w:val="00471AE5"/>
    <w:rsid w:val="004721B7"/>
    <w:rsid w:val="00472CB3"/>
    <w:rsid w:val="00473AF3"/>
    <w:rsid w:val="004747B0"/>
    <w:rsid w:val="00474967"/>
    <w:rsid w:val="00475CB6"/>
    <w:rsid w:val="004762B0"/>
    <w:rsid w:val="00480A8E"/>
    <w:rsid w:val="00481889"/>
    <w:rsid w:val="00481F50"/>
    <w:rsid w:val="004822A2"/>
    <w:rsid w:val="00482464"/>
    <w:rsid w:val="004879DD"/>
    <w:rsid w:val="00490519"/>
    <w:rsid w:val="004909C6"/>
    <w:rsid w:val="004914FE"/>
    <w:rsid w:val="00496DE1"/>
    <w:rsid w:val="004A0097"/>
    <w:rsid w:val="004A1A8C"/>
    <w:rsid w:val="004A26E2"/>
    <w:rsid w:val="004A3957"/>
    <w:rsid w:val="004A48CB"/>
    <w:rsid w:val="004A7E57"/>
    <w:rsid w:val="004B0DB7"/>
    <w:rsid w:val="004B18B5"/>
    <w:rsid w:val="004B5ABB"/>
    <w:rsid w:val="004B7054"/>
    <w:rsid w:val="004C0A71"/>
    <w:rsid w:val="004C0FC6"/>
    <w:rsid w:val="004C10B3"/>
    <w:rsid w:val="004C121B"/>
    <w:rsid w:val="004C275A"/>
    <w:rsid w:val="004C32BC"/>
    <w:rsid w:val="004D035B"/>
    <w:rsid w:val="004D4C55"/>
    <w:rsid w:val="004D4CF0"/>
    <w:rsid w:val="004E02D7"/>
    <w:rsid w:val="004E11DD"/>
    <w:rsid w:val="004E1D91"/>
    <w:rsid w:val="004E26B2"/>
    <w:rsid w:val="004E3A47"/>
    <w:rsid w:val="004E6181"/>
    <w:rsid w:val="004F1C4E"/>
    <w:rsid w:val="004F4825"/>
    <w:rsid w:val="005030BF"/>
    <w:rsid w:val="00503772"/>
    <w:rsid w:val="00505CD0"/>
    <w:rsid w:val="005127E7"/>
    <w:rsid w:val="00513551"/>
    <w:rsid w:val="00513AED"/>
    <w:rsid w:val="00520B5D"/>
    <w:rsid w:val="005338D6"/>
    <w:rsid w:val="005354B3"/>
    <w:rsid w:val="00535EEB"/>
    <w:rsid w:val="005365F0"/>
    <w:rsid w:val="0054069A"/>
    <w:rsid w:val="00542E36"/>
    <w:rsid w:val="00542EF5"/>
    <w:rsid w:val="00544A33"/>
    <w:rsid w:val="00546373"/>
    <w:rsid w:val="0055191C"/>
    <w:rsid w:val="005530CA"/>
    <w:rsid w:val="00553B65"/>
    <w:rsid w:val="005576D5"/>
    <w:rsid w:val="00562518"/>
    <w:rsid w:val="00563D38"/>
    <w:rsid w:val="00572457"/>
    <w:rsid w:val="00573559"/>
    <w:rsid w:val="00575D97"/>
    <w:rsid w:val="005768BA"/>
    <w:rsid w:val="00576E02"/>
    <w:rsid w:val="00580099"/>
    <w:rsid w:val="00584326"/>
    <w:rsid w:val="005848D2"/>
    <w:rsid w:val="00590A9E"/>
    <w:rsid w:val="00592D65"/>
    <w:rsid w:val="005933CF"/>
    <w:rsid w:val="00593457"/>
    <w:rsid w:val="0059636D"/>
    <w:rsid w:val="00596D71"/>
    <w:rsid w:val="005977A1"/>
    <w:rsid w:val="005A1A47"/>
    <w:rsid w:val="005A318F"/>
    <w:rsid w:val="005A605D"/>
    <w:rsid w:val="005A6669"/>
    <w:rsid w:val="005A6CFD"/>
    <w:rsid w:val="005A73FB"/>
    <w:rsid w:val="005B0C3E"/>
    <w:rsid w:val="005B6BEB"/>
    <w:rsid w:val="005C0162"/>
    <w:rsid w:val="005C28E8"/>
    <w:rsid w:val="005C47D3"/>
    <w:rsid w:val="005C5713"/>
    <w:rsid w:val="005D0D6F"/>
    <w:rsid w:val="005D13E0"/>
    <w:rsid w:val="005D59B2"/>
    <w:rsid w:val="005D7B74"/>
    <w:rsid w:val="005E10CA"/>
    <w:rsid w:val="005E133B"/>
    <w:rsid w:val="005E590A"/>
    <w:rsid w:val="005E6C20"/>
    <w:rsid w:val="005E7663"/>
    <w:rsid w:val="005F0E7A"/>
    <w:rsid w:val="005F4131"/>
    <w:rsid w:val="005F466D"/>
    <w:rsid w:val="0060145A"/>
    <w:rsid w:val="006014DB"/>
    <w:rsid w:val="00601B46"/>
    <w:rsid w:val="00602928"/>
    <w:rsid w:val="006029AE"/>
    <w:rsid w:val="00605C2E"/>
    <w:rsid w:val="00606F96"/>
    <w:rsid w:val="00607C78"/>
    <w:rsid w:val="0061096C"/>
    <w:rsid w:val="00610D20"/>
    <w:rsid w:val="00612091"/>
    <w:rsid w:val="00613F21"/>
    <w:rsid w:val="00614B33"/>
    <w:rsid w:val="006159C2"/>
    <w:rsid w:val="00625B9D"/>
    <w:rsid w:val="00627F1C"/>
    <w:rsid w:val="00637C7B"/>
    <w:rsid w:val="00640D58"/>
    <w:rsid w:val="00643DF6"/>
    <w:rsid w:val="006447AE"/>
    <w:rsid w:val="00645AC7"/>
    <w:rsid w:val="00645B4F"/>
    <w:rsid w:val="00645FA5"/>
    <w:rsid w:val="00646217"/>
    <w:rsid w:val="0064665A"/>
    <w:rsid w:val="00646A4E"/>
    <w:rsid w:val="0064763E"/>
    <w:rsid w:val="006524E8"/>
    <w:rsid w:val="006526F1"/>
    <w:rsid w:val="00656A4D"/>
    <w:rsid w:val="00657F70"/>
    <w:rsid w:val="00660190"/>
    <w:rsid w:val="00661EAC"/>
    <w:rsid w:val="006633C2"/>
    <w:rsid w:val="0066399C"/>
    <w:rsid w:val="00664BF9"/>
    <w:rsid w:val="00670619"/>
    <w:rsid w:val="00673264"/>
    <w:rsid w:val="00674088"/>
    <w:rsid w:val="00674FB8"/>
    <w:rsid w:val="00675132"/>
    <w:rsid w:val="00680277"/>
    <w:rsid w:val="00681566"/>
    <w:rsid w:val="006864D0"/>
    <w:rsid w:val="006876E0"/>
    <w:rsid w:val="00693EA3"/>
    <w:rsid w:val="00697970"/>
    <w:rsid w:val="006A2927"/>
    <w:rsid w:val="006A44F0"/>
    <w:rsid w:val="006A767E"/>
    <w:rsid w:val="006B090E"/>
    <w:rsid w:val="006B103F"/>
    <w:rsid w:val="006B1D89"/>
    <w:rsid w:val="006B1D98"/>
    <w:rsid w:val="006B2161"/>
    <w:rsid w:val="006B6611"/>
    <w:rsid w:val="006B6EBF"/>
    <w:rsid w:val="006B7448"/>
    <w:rsid w:val="006C0A40"/>
    <w:rsid w:val="006C3921"/>
    <w:rsid w:val="006C6C31"/>
    <w:rsid w:val="006C77BD"/>
    <w:rsid w:val="006D1A7D"/>
    <w:rsid w:val="006D1C50"/>
    <w:rsid w:val="006D33EF"/>
    <w:rsid w:val="006D406F"/>
    <w:rsid w:val="006D6766"/>
    <w:rsid w:val="006D73D5"/>
    <w:rsid w:val="006E1383"/>
    <w:rsid w:val="006E1E1A"/>
    <w:rsid w:val="006E219C"/>
    <w:rsid w:val="006E4F66"/>
    <w:rsid w:val="006E62A4"/>
    <w:rsid w:val="006E68FA"/>
    <w:rsid w:val="006F005C"/>
    <w:rsid w:val="006F0F2C"/>
    <w:rsid w:val="006F1EDD"/>
    <w:rsid w:val="006F2FEE"/>
    <w:rsid w:val="006F60CA"/>
    <w:rsid w:val="006F6181"/>
    <w:rsid w:val="006F6339"/>
    <w:rsid w:val="006F7628"/>
    <w:rsid w:val="0070039B"/>
    <w:rsid w:val="00700F3A"/>
    <w:rsid w:val="00701689"/>
    <w:rsid w:val="00701C11"/>
    <w:rsid w:val="00703023"/>
    <w:rsid w:val="00703715"/>
    <w:rsid w:val="007048AE"/>
    <w:rsid w:val="00705249"/>
    <w:rsid w:val="00705916"/>
    <w:rsid w:val="007100FC"/>
    <w:rsid w:val="00712AD2"/>
    <w:rsid w:val="00715D61"/>
    <w:rsid w:val="0071625C"/>
    <w:rsid w:val="00716A62"/>
    <w:rsid w:val="0072170B"/>
    <w:rsid w:val="00724C44"/>
    <w:rsid w:val="00730DE9"/>
    <w:rsid w:val="0073295F"/>
    <w:rsid w:val="00734318"/>
    <w:rsid w:val="007345DC"/>
    <w:rsid w:val="00734622"/>
    <w:rsid w:val="0073772D"/>
    <w:rsid w:val="00740319"/>
    <w:rsid w:val="00741529"/>
    <w:rsid w:val="007429DD"/>
    <w:rsid w:val="00742A54"/>
    <w:rsid w:val="007445EA"/>
    <w:rsid w:val="00746275"/>
    <w:rsid w:val="00747B7C"/>
    <w:rsid w:val="00750327"/>
    <w:rsid w:val="00753545"/>
    <w:rsid w:val="00755007"/>
    <w:rsid w:val="0075587F"/>
    <w:rsid w:val="00756868"/>
    <w:rsid w:val="007572D1"/>
    <w:rsid w:val="0076078C"/>
    <w:rsid w:val="007613E8"/>
    <w:rsid w:val="00764C44"/>
    <w:rsid w:val="00764DBA"/>
    <w:rsid w:val="00773331"/>
    <w:rsid w:val="00773AD6"/>
    <w:rsid w:val="007743D7"/>
    <w:rsid w:val="007747E9"/>
    <w:rsid w:val="007749A6"/>
    <w:rsid w:val="00780FA1"/>
    <w:rsid w:val="007813D9"/>
    <w:rsid w:val="007836A0"/>
    <w:rsid w:val="007845E0"/>
    <w:rsid w:val="00785692"/>
    <w:rsid w:val="00786275"/>
    <w:rsid w:val="00790BDE"/>
    <w:rsid w:val="007939E1"/>
    <w:rsid w:val="00794686"/>
    <w:rsid w:val="00794C0E"/>
    <w:rsid w:val="007961C8"/>
    <w:rsid w:val="007A13A6"/>
    <w:rsid w:val="007A309C"/>
    <w:rsid w:val="007A3F7E"/>
    <w:rsid w:val="007A590E"/>
    <w:rsid w:val="007A7F3A"/>
    <w:rsid w:val="007B0599"/>
    <w:rsid w:val="007B1B3A"/>
    <w:rsid w:val="007B2F10"/>
    <w:rsid w:val="007B4919"/>
    <w:rsid w:val="007B5385"/>
    <w:rsid w:val="007B5756"/>
    <w:rsid w:val="007B6BBF"/>
    <w:rsid w:val="007B6D79"/>
    <w:rsid w:val="007B7545"/>
    <w:rsid w:val="007C1210"/>
    <w:rsid w:val="007C22BA"/>
    <w:rsid w:val="007C2F77"/>
    <w:rsid w:val="007C2F87"/>
    <w:rsid w:val="007C3DDC"/>
    <w:rsid w:val="007C3E6B"/>
    <w:rsid w:val="007C4250"/>
    <w:rsid w:val="007C5392"/>
    <w:rsid w:val="007C7547"/>
    <w:rsid w:val="007D0190"/>
    <w:rsid w:val="007D0369"/>
    <w:rsid w:val="007D03B0"/>
    <w:rsid w:val="007D03FE"/>
    <w:rsid w:val="007D0AD4"/>
    <w:rsid w:val="007D1CDD"/>
    <w:rsid w:val="007D3D36"/>
    <w:rsid w:val="007D53B6"/>
    <w:rsid w:val="007D73EF"/>
    <w:rsid w:val="007D73F8"/>
    <w:rsid w:val="007D7888"/>
    <w:rsid w:val="007E06F2"/>
    <w:rsid w:val="007E0C8C"/>
    <w:rsid w:val="007E4A25"/>
    <w:rsid w:val="007E6965"/>
    <w:rsid w:val="007F394A"/>
    <w:rsid w:val="007F59DE"/>
    <w:rsid w:val="007F7052"/>
    <w:rsid w:val="0080067B"/>
    <w:rsid w:val="00803A57"/>
    <w:rsid w:val="0081161D"/>
    <w:rsid w:val="008123C2"/>
    <w:rsid w:val="00814C51"/>
    <w:rsid w:val="00815DBB"/>
    <w:rsid w:val="00820F64"/>
    <w:rsid w:val="0082321B"/>
    <w:rsid w:val="008235B5"/>
    <w:rsid w:val="0082449B"/>
    <w:rsid w:val="008268F5"/>
    <w:rsid w:val="00831A69"/>
    <w:rsid w:val="00832984"/>
    <w:rsid w:val="00833285"/>
    <w:rsid w:val="00833D1C"/>
    <w:rsid w:val="008363A9"/>
    <w:rsid w:val="00836B69"/>
    <w:rsid w:val="0084109B"/>
    <w:rsid w:val="00842616"/>
    <w:rsid w:val="00843C06"/>
    <w:rsid w:val="00844E6A"/>
    <w:rsid w:val="0084515A"/>
    <w:rsid w:val="008478FC"/>
    <w:rsid w:val="00851E2B"/>
    <w:rsid w:val="00853496"/>
    <w:rsid w:val="00853DCB"/>
    <w:rsid w:val="0086064D"/>
    <w:rsid w:val="008608F3"/>
    <w:rsid w:val="008609FB"/>
    <w:rsid w:val="008613C5"/>
    <w:rsid w:val="0086271F"/>
    <w:rsid w:val="0086510B"/>
    <w:rsid w:val="00867889"/>
    <w:rsid w:val="008749D6"/>
    <w:rsid w:val="00875848"/>
    <w:rsid w:val="00876C57"/>
    <w:rsid w:val="00877759"/>
    <w:rsid w:val="0088286E"/>
    <w:rsid w:val="008829EC"/>
    <w:rsid w:val="00887C1E"/>
    <w:rsid w:val="00890F60"/>
    <w:rsid w:val="008933F5"/>
    <w:rsid w:val="00893ABC"/>
    <w:rsid w:val="0089785A"/>
    <w:rsid w:val="008979F7"/>
    <w:rsid w:val="008A0396"/>
    <w:rsid w:val="008A10DD"/>
    <w:rsid w:val="008A6770"/>
    <w:rsid w:val="008B2649"/>
    <w:rsid w:val="008B4E12"/>
    <w:rsid w:val="008B6ADA"/>
    <w:rsid w:val="008B6F1A"/>
    <w:rsid w:val="008B7810"/>
    <w:rsid w:val="008C2122"/>
    <w:rsid w:val="008C4BE5"/>
    <w:rsid w:val="008C56C1"/>
    <w:rsid w:val="008C7261"/>
    <w:rsid w:val="008D0974"/>
    <w:rsid w:val="008D0F78"/>
    <w:rsid w:val="008D2D27"/>
    <w:rsid w:val="008D4BE5"/>
    <w:rsid w:val="008D6EC8"/>
    <w:rsid w:val="008D7C11"/>
    <w:rsid w:val="008E00B7"/>
    <w:rsid w:val="008E0353"/>
    <w:rsid w:val="008E4D83"/>
    <w:rsid w:val="008E5B3E"/>
    <w:rsid w:val="008E5B60"/>
    <w:rsid w:val="008E6DCF"/>
    <w:rsid w:val="008E763F"/>
    <w:rsid w:val="008E7D9E"/>
    <w:rsid w:val="008F0DEB"/>
    <w:rsid w:val="008F4725"/>
    <w:rsid w:val="008F5295"/>
    <w:rsid w:val="008F7399"/>
    <w:rsid w:val="008F7AA2"/>
    <w:rsid w:val="00900C88"/>
    <w:rsid w:val="0090549B"/>
    <w:rsid w:val="0090624B"/>
    <w:rsid w:val="00907F1F"/>
    <w:rsid w:val="00910161"/>
    <w:rsid w:val="00912F6E"/>
    <w:rsid w:val="009162CB"/>
    <w:rsid w:val="00921049"/>
    <w:rsid w:val="009210EE"/>
    <w:rsid w:val="0092216A"/>
    <w:rsid w:val="0092691A"/>
    <w:rsid w:val="00932028"/>
    <w:rsid w:val="00932A60"/>
    <w:rsid w:val="0093318F"/>
    <w:rsid w:val="00934174"/>
    <w:rsid w:val="00934C92"/>
    <w:rsid w:val="00934DEB"/>
    <w:rsid w:val="0094089C"/>
    <w:rsid w:val="00942789"/>
    <w:rsid w:val="00944ADA"/>
    <w:rsid w:val="00944E78"/>
    <w:rsid w:val="00951517"/>
    <w:rsid w:val="00952AF1"/>
    <w:rsid w:val="00953880"/>
    <w:rsid w:val="00954731"/>
    <w:rsid w:val="00956C6F"/>
    <w:rsid w:val="009577E5"/>
    <w:rsid w:val="00957A49"/>
    <w:rsid w:val="0096060D"/>
    <w:rsid w:val="00964411"/>
    <w:rsid w:val="009644D1"/>
    <w:rsid w:val="009649FE"/>
    <w:rsid w:val="00966B9B"/>
    <w:rsid w:val="009673D8"/>
    <w:rsid w:val="009679A2"/>
    <w:rsid w:val="009712B3"/>
    <w:rsid w:val="009721A9"/>
    <w:rsid w:val="009731BC"/>
    <w:rsid w:val="0097540E"/>
    <w:rsid w:val="00976CFC"/>
    <w:rsid w:val="0098054F"/>
    <w:rsid w:val="00982218"/>
    <w:rsid w:val="0098241D"/>
    <w:rsid w:val="00982C6F"/>
    <w:rsid w:val="009842EF"/>
    <w:rsid w:val="00992BDD"/>
    <w:rsid w:val="00994139"/>
    <w:rsid w:val="00996399"/>
    <w:rsid w:val="009979EF"/>
    <w:rsid w:val="009A05A5"/>
    <w:rsid w:val="009A2B09"/>
    <w:rsid w:val="009A3AAD"/>
    <w:rsid w:val="009A7D1D"/>
    <w:rsid w:val="009B029F"/>
    <w:rsid w:val="009B3C9C"/>
    <w:rsid w:val="009C4358"/>
    <w:rsid w:val="009C4F46"/>
    <w:rsid w:val="009C6EDF"/>
    <w:rsid w:val="009D33DB"/>
    <w:rsid w:val="009D3699"/>
    <w:rsid w:val="009D37FE"/>
    <w:rsid w:val="009D4DB5"/>
    <w:rsid w:val="009E4011"/>
    <w:rsid w:val="009E49B4"/>
    <w:rsid w:val="009E55DB"/>
    <w:rsid w:val="009F1125"/>
    <w:rsid w:val="009F1349"/>
    <w:rsid w:val="009F1B69"/>
    <w:rsid w:val="009F4888"/>
    <w:rsid w:val="009F5474"/>
    <w:rsid w:val="009F6027"/>
    <w:rsid w:val="009F7182"/>
    <w:rsid w:val="009F74CC"/>
    <w:rsid w:val="009F7CFF"/>
    <w:rsid w:val="00A04BF2"/>
    <w:rsid w:val="00A10DE8"/>
    <w:rsid w:val="00A11A23"/>
    <w:rsid w:val="00A127EB"/>
    <w:rsid w:val="00A13A78"/>
    <w:rsid w:val="00A1507B"/>
    <w:rsid w:val="00A157AC"/>
    <w:rsid w:val="00A159D6"/>
    <w:rsid w:val="00A243C4"/>
    <w:rsid w:val="00A25075"/>
    <w:rsid w:val="00A31DE8"/>
    <w:rsid w:val="00A32D09"/>
    <w:rsid w:val="00A34093"/>
    <w:rsid w:val="00A34D0D"/>
    <w:rsid w:val="00A35F97"/>
    <w:rsid w:val="00A37389"/>
    <w:rsid w:val="00A40913"/>
    <w:rsid w:val="00A42071"/>
    <w:rsid w:val="00A42641"/>
    <w:rsid w:val="00A44B6C"/>
    <w:rsid w:val="00A45534"/>
    <w:rsid w:val="00A507BB"/>
    <w:rsid w:val="00A53A64"/>
    <w:rsid w:val="00A53BE7"/>
    <w:rsid w:val="00A54B55"/>
    <w:rsid w:val="00A55721"/>
    <w:rsid w:val="00A61634"/>
    <w:rsid w:val="00A66303"/>
    <w:rsid w:val="00A665C8"/>
    <w:rsid w:val="00A66C5E"/>
    <w:rsid w:val="00A675D5"/>
    <w:rsid w:val="00A70EE3"/>
    <w:rsid w:val="00A726F5"/>
    <w:rsid w:val="00A731CB"/>
    <w:rsid w:val="00A73CE5"/>
    <w:rsid w:val="00A74099"/>
    <w:rsid w:val="00A749B4"/>
    <w:rsid w:val="00A77061"/>
    <w:rsid w:val="00A80F1C"/>
    <w:rsid w:val="00A8203F"/>
    <w:rsid w:val="00A82B78"/>
    <w:rsid w:val="00A82C26"/>
    <w:rsid w:val="00A82FAB"/>
    <w:rsid w:val="00A83E4B"/>
    <w:rsid w:val="00A8456F"/>
    <w:rsid w:val="00A84E71"/>
    <w:rsid w:val="00A85889"/>
    <w:rsid w:val="00A91509"/>
    <w:rsid w:val="00A92666"/>
    <w:rsid w:val="00A93C66"/>
    <w:rsid w:val="00A93DF2"/>
    <w:rsid w:val="00A95D1A"/>
    <w:rsid w:val="00A97895"/>
    <w:rsid w:val="00AA0018"/>
    <w:rsid w:val="00AA0ECD"/>
    <w:rsid w:val="00AA2605"/>
    <w:rsid w:val="00AA3531"/>
    <w:rsid w:val="00AB1016"/>
    <w:rsid w:val="00AB399E"/>
    <w:rsid w:val="00AB3DF6"/>
    <w:rsid w:val="00AB49C2"/>
    <w:rsid w:val="00AB6598"/>
    <w:rsid w:val="00AC00E5"/>
    <w:rsid w:val="00AC1FAC"/>
    <w:rsid w:val="00AC37C0"/>
    <w:rsid w:val="00AC3BB0"/>
    <w:rsid w:val="00AC3D11"/>
    <w:rsid w:val="00AC4492"/>
    <w:rsid w:val="00AC4ABF"/>
    <w:rsid w:val="00AC64FF"/>
    <w:rsid w:val="00AC6887"/>
    <w:rsid w:val="00AC702C"/>
    <w:rsid w:val="00AD3350"/>
    <w:rsid w:val="00AE406A"/>
    <w:rsid w:val="00AE4137"/>
    <w:rsid w:val="00AE54B4"/>
    <w:rsid w:val="00AF062F"/>
    <w:rsid w:val="00AF0F64"/>
    <w:rsid w:val="00AF261E"/>
    <w:rsid w:val="00AF3303"/>
    <w:rsid w:val="00AF3EAD"/>
    <w:rsid w:val="00AF6F0D"/>
    <w:rsid w:val="00AF7E3B"/>
    <w:rsid w:val="00B00F60"/>
    <w:rsid w:val="00B04DCA"/>
    <w:rsid w:val="00B06601"/>
    <w:rsid w:val="00B07CCD"/>
    <w:rsid w:val="00B10DFC"/>
    <w:rsid w:val="00B2047E"/>
    <w:rsid w:val="00B21A43"/>
    <w:rsid w:val="00B2272E"/>
    <w:rsid w:val="00B25827"/>
    <w:rsid w:val="00B25A37"/>
    <w:rsid w:val="00B25EDF"/>
    <w:rsid w:val="00B33A8C"/>
    <w:rsid w:val="00B33D7F"/>
    <w:rsid w:val="00B349E9"/>
    <w:rsid w:val="00B405B0"/>
    <w:rsid w:val="00B43102"/>
    <w:rsid w:val="00B43946"/>
    <w:rsid w:val="00B443CA"/>
    <w:rsid w:val="00B44CFD"/>
    <w:rsid w:val="00B46585"/>
    <w:rsid w:val="00B50B4D"/>
    <w:rsid w:val="00B5108C"/>
    <w:rsid w:val="00B526F8"/>
    <w:rsid w:val="00B52A6F"/>
    <w:rsid w:val="00B53399"/>
    <w:rsid w:val="00B5572B"/>
    <w:rsid w:val="00B601D8"/>
    <w:rsid w:val="00B6028B"/>
    <w:rsid w:val="00B61D81"/>
    <w:rsid w:val="00B65625"/>
    <w:rsid w:val="00B65F9C"/>
    <w:rsid w:val="00B6685D"/>
    <w:rsid w:val="00B6717D"/>
    <w:rsid w:val="00B707C5"/>
    <w:rsid w:val="00B72435"/>
    <w:rsid w:val="00B73043"/>
    <w:rsid w:val="00B76C7A"/>
    <w:rsid w:val="00B779E1"/>
    <w:rsid w:val="00B8069F"/>
    <w:rsid w:val="00B826D3"/>
    <w:rsid w:val="00B84AFB"/>
    <w:rsid w:val="00B858CE"/>
    <w:rsid w:val="00B8775D"/>
    <w:rsid w:val="00B90A54"/>
    <w:rsid w:val="00B90B80"/>
    <w:rsid w:val="00B917BD"/>
    <w:rsid w:val="00B92483"/>
    <w:rsid w:val="00B93E87"/>
    <w:rsid w:val="00B94A7F"/>
    <w:rsid w:val="00B95C7D"/>
    <w:rsid w:val="00B95E24"/>
    <w:rsid w:val="00B965F2"/>
    <w:rsid w:val="00B96820"/>
    <w:rsid w:val="00BA007A"/>
    <w:rsid w:val="00BA100C"/>
    <w:rsid w:val="00BA7C89"/>
    <w:rsid w:val="00BB2CD9"/>
    <w:rsid w:val="00BB41CB"/>
    <w:rsid w:val="00BB431D"/>
    <w:rsid w:val="00BB4D99"/>
    <w:rsid w:val="00BB5F2B"/>
    <w:rsid w:val="00BC27D4"/>
    <w:rsid w:val="00BC4CBE"/>
    <w:rsid w:val="00BC7DC9"/>
    <w:rsid w:val="00BD0FEC"/>
    <w:rsid w:val="00BD1754"/>
    <w:rsid w:val="00BD31DB"/>
    <w:rsid w:val="00BD414F"/>
    <w:rsid w:val="00BD508E"/>
    <w:rsid w:val="00BD7EC8"/>
    <w:rsid w:val="00BE1057"/>
    <w:rsid w:val="00BE128E"/>
    <w:rsid w:val="00BE1C7F"/>
    <w:rsid w:val="00BE2589"/>
    <w:rsid w:val="00BE3703"/>
    <w:rsid w:val="00BE79E8"/>
    <w:rsid w:val="00BF106E"/>
    <w:rsid w:val="00BF25CE"/>
    <w:rsid w:val="00BF3B6A"/>
    <w:rsid w:val="00BF6BD8"/>
    <w:rsid w:val="00C013D7"/>
    <w:rsid w:val="00C023FB"/>
    <w:rsid w:val="00C03962"/>
    <w:rsid w:val="00C040EC"/>
    <w:rsid w:val="00C06CA1"/>
    <w:rsid w:val="00C120E1"/>
    <w:rsid w:val="00C12480"/>
    <w:rsid w:val="00C14906"/>
    <w:rsid w:val="00C149D5"/>
    <w:rsid w:val="00C14FA4"/>
    <w:rsid w:val="00C175D1"/>
    <w:rsid w:val="00C20399"/>
    <w:rsid w:val="00C20B98"/>
    <w:rsid w:val="00C21BE1"/>
    <w:rsid w:val="00C21F13"/>
    <w:rsid w:val="00C2251F"/>
    <w:rsid w:val="00C225AD"/>
    <w:rsid w:val="00C22E0C"/>
    <w:rsid w:val="00C24719"/>
    <w:rsid w:val="00C261E4"/>
    <w:rsid w:val="00C27936"/>
    <w:rsid w:val="00C318F1"/>
    <w:rsid w:val="00C31DCD"/>
    <w:rsid w:val="00C330AD"/>
    <w:rsid w:val="00C37FF3"/>
    <w:rsid w:val="00C4073B"/>
    <w:rsid w:val="00C40CFD"/>
    <w:rsid w:val="00C4170E"/>
    <w:rsid w:val="00C4309B"/>
    <w:rsid w:val="00C43C6A"/>
    <w:rsid w:val="00C4453D"/>
    <w:rsid w:val="00C44A3C"/>
    <w:rsid w:val="00C4513C"/>
    <w:rsid w:val="00C45684"/>
    <w:rsid w:val="00C4582C"/>
    <w:rsid w:val="00C47116"/>
    <w:rsid w:val="00C501D0"/>
    <w:rsid w:val="00C5045B"/>
    <w:rsid w:val="00C50902"/>
    <w:rsid w:val="00C51466"/>
    <w:rsid w:val="00C53D5C"/>
    <w:rsid w:val="00C5772F"/>
    <w:rsid w:val="00C62730"/>
    <w:rsid w:val="00C63069"/>
    <w:rsid w:val="00C63DAD"/>
    <w:rsid w:val="00C652F4"/>
    <w:rsid w:val="00C656F0"/>
    <w:rsid w:val="00C675F1"/>
    <w:rsid w:val="00C700DF"/>
    <w:rsid w:val="00C71055"/>
    <w:rsid w:val="00C75273"/>
    <w:rsid w:val="00C75DB3"/>
    <w:rsid w:val="00C8063A"/>
    <w:rsid w:val="00C81BA6"/>
    <w:rsid w:val="00C8340D"/>
    <w:rsid w:val="00C8743C"/>
    <w:rsid w:val="00C902C5"/>
    <w:rsid w:val="00C91706"/>
    <w:rsid w:val="00C91EA4"/>
    <w:rsid w:val="00C92517"/>
    <w:rsid w:val="00C931D7"/>
    <w:rsid w:val="00CA0A51"/>
    <w:rsid w:val="00CA0AAC"/>
    <w:rsid w:val="00CA202E"/>
    <w:rsid w:val="00CA2207"/>
    <w:rsid w:val="00CA3392"/>
    <w:rsid w:val="00CA4714"/>
    <w:rsid w:val="00CA48EF"/>
    <w:rsid w:val="00CA4B4C"/>
    <w:rsid w:val="00CB0AC8"/>
    <w:rsid w:val="00CB223A"/>
    <w:rsid w:val="00CB28F0"/>
    <w:rsid w:val="00CB3DA4"/>
    <w:rsid w:val="00CB6A82"/>
    <w:rsid w:val="00CB7CF5"/>
    <w:rsid w:val="00CC0415"/>
    <w:rsid w:val="00CC07E4"/>
    <w:rsid w:val="00CC11F6"/>
    <w:rsid w:val="00CC1A6F"/>
    <w:rsid w:val="00CC366C"/>
    <w:rsid w:val="00CC6654"/>
    <w:rsid w:val="00CD14BC"/>
    <w:rsid w:val="00CD2DF6"/>
    <w:rsid w:val="00CD3E2B"/>
    <w:rsid w:val="00CD46B3"/>
    <w:rsid w:val="00CD48E7"/>
    <w:rsid w:val="00CD4CAA"/>
    <w:rsid w:val="00CD5A6B"/>
    <w:rsid w:val="00CD69A8"/>
    <w:rsid w:val="00CD69CA"/>
    <w:rsid w:val="00CE19A5"/>
    <w:rsid w:val="00CE1BD2"/>
    <w:rsid w:val="00CE2C47"/>
    <w:rsid w:val="00CE330A"/>
    <w:rsid w:val="00CE3F5E"/>
    <w:rsid w:val="00CE53CD"/>
    <w:rsid w:val="00CE7441"/>
    <w:rsid w:val="00CF0C2E"/>
    <w:rsid w:val="00CF595D"/>
    <w:rsid w:val="00CF5D0B"/>
    <w:rsid w:val="00CF7B1A"/>
    <w:rsid w:val="00D064C9"/>
    <w:rsid w:val="00D1296D"/>
    <w:rsid w:val="00D12DA7"/>
    <w:rsid w:val="00D12E73"/>
    <w:rsid w:val="00D1310C"/>
    <w:rsid w:val="00D13A1E"/>
    <w:rsid w:val="00D14864"/>
    <w:rsid w:val="00D15B37"/>
    <w:rsid w:val="00D20A20"/>
    <w:rsid w:val="00D20F1B"/>
    <w:rsid w:val="00D21F09"/>
    <w:rsid w:val="00D22607"/>
    <w:rsid w:val="00D23EC0"/>
    <w:rsid w:val="00D25B82"/>
    <w:rsid w:val="00D32A72"/>
    <w:rsid w:val="00D336C3"/>
    <w:rsid w:val="00D36A5E"/>
    <w:rsid w:val="00D40BE3"/>
    <w:rsid w:val="00D41221"/>
    <w:rsid w:val="00D45C71"/>
    <w:rsid w:val="00D4742A"/>
    <w:rsid w:val="00D5076B"/>
    <w:rsid w:val="00D510A9"/>
    <w:rsid w:val="00D51DEE"/>
    <w:rsid w:val="00D53045"/>
    <w:rsid w:val="00D5392C"/>
    <w:rsid w:val="00D55718"/>
    <w:rsid w:val="00D5585B"/>
    <w:rsid w:val="00D5585E"/>
    <w:rsid w:val="00D55C81"/>
    <w:rsid w:val="00D568C5"/>
    <w:rsid w:val="00D60150"/>
    <w:rsid w:val="00D615F8"/>
    <w:rsid w:val="00D67073"/>
    <w:rsid w:val="00D67CE3"/>
    <w:rsid w:val="00D7001E"/>
    <w:rsid w:val="00D73127"/>
    <w:rsid w:val="00D73235"/>
    <w:rsid w:val="00D733CD"/>
    <w:rsid w:val="00D73630"/>
    <w:rsid w:val="00D7498C"/>
    <w:rsid w:val="00D757C6"/>
    <w:rsid w:val="00D758E9"/>
    <w:rsid w:val="00D75B85"/>
    <w:rsid w:val="00D770A8"/>
    <w:rsid w:val="00D77117"/>
    <w:rsid w:val="00D778E3"/>
    <w:rsid w:val="00D77CB5"/>
    <w:rsid w:val="00D823BD"/>
    <w:rsid w:val="00D83E4D"/>
    <w:rsid w:val="00D849A1"/>
    <w:rsid w:val="00D85381"/>
    <w:rsid w:val="00D864FA"/>
    <w:rsid w:val="00D91A65"/>
    <w:rsid w:val="00D91E56"/>
    <w:rsid w:val="00D91F23"/>
    <w:rsid w:val="00D92620"/>
    <w:rsid w:val="00D939AB"/>
    <w:rsid w:val="00D94EF9"/>
    <w:rsid w:val="00D954C9"/>
    <w:rsid w:val="00D9580A"/>
    <w:rsid w:val="00D96FF0"/>
    <w:rsid w:val="00D9738A"/>
    <w:rsid w:val="00DA1725"/>
    <w:rsid w:val="00DA2E9F"/>
    <w:rsid w:val="00DA7959"/>
    <w:rsid w:val="00DB0025"/>
    <w:rsid w:val="00DB0BA3"/>
    <w:rsid w:val="00DB2137"/>
    <w:rsid w:val="00DB31E0"/>
    <w:rsid w:val="00DB4F87"/>
    <w:rsid w:val="00DB74D6"/>
    <w:rsid w:val="00DC11EA"/>
    <w:rsid w:val="00DC4FCC"/>
    <w:rsid w:val="00DC5ADD"/>
    <w:rsid w:val="00DC5E16"/>
    <w:rsid w:val="00DD3466"/>
    <w:rsid w:val="00DD3FD0"/>
    <w:rsid w:val="00DD70C2"/>
    <w:rsid w:val="00DD759C"/>
    <w:rsid w:val="00DD7E59"/>
    <w:rsid w:val="00DE1E9D"/>
    <w:rsid w:val="00DE30B6"/>
    <w:rsid w:val="00DE35E4"/>
    <w:rsid w:val="00DE4742"/>
    <w:rsid w:val="00DE7597"/>
    <w:rsid w:val="00DF1743"/>
    <w:rsid w:val="00DF32EA"/>
    <w:rsid w:val="00DF3AD7"/>
    <w:rsid w:val="00DF628A"/>
    <w:rsid w:val="00E00768"/>
    <w:rsid w:val="00E015C2"/>
    <w:rsid w:val="00E050C2"/>
    <w:rsid w:val="00E075D0"/>
    <w:rsid w:val="00E13275"/>
    <w:rsid w:val="00E13880"/>
    <w:rsid w:val="00E22BA8"/>
    <w:rsid w:val="00E251FC"/>
    <w:rsid w:val="00E25949"/>
    <w:rsid w:val="00E25F75"/>
    <w:rsid w:val="00E316F3"/>
    <w:rsid w:val="00E31F21"/>
    <w:rsid w:val="00E33239"/>
    <w:rsid w:val="00E345E0"/>
    <w:rsid w:val="00E34CAB"/>
    <w:rsid w:val="00E36393"/>
    <w:rsid w:val="00E3708E"/>
    <w:rsid w:val="00E37215"/>
    <w:rsid w:val="00E400EB"/>
    <w:rsid w:val="00E43A22"/>
    <w:rsid w:val="00E459EE"/>
    <w:rsid w:val="00E45A45"/>
    <w:rsid w:val="00E45ADC"/>
    <w:rsid w:val="00E45EFD"/>
    <w:rsid w:val="00E512DF"/>
    <w:rsid w:val="00E52151"/>
    <w:rsid w:val="00E53653"/>
    <w:rsid w:val="00E56749"/>
    <w:rsid w:val="00E60842"/>
    <w:rsid w:val="00E61696"/>
    <w:rsid w:val="00E62650"/>
    <w:rsid w:val="00E628F7"/>
    <w:rsid w:val="00E64D8C"/>
    <w:rsid w:val="00E650E1"/>
    <w:rsid w:val="00E677C6"/>
    <w:rsid w:val="00E67843"/>
    <w:rsid w:val="00E71996"/>
    <w:rsid w:val="00E73A0D"/>
    <w:rsid w:val="00E75092"/>
    <w:rsid w:val="00E81A44"/>
    <w:rsid w:val="00E822D6"/>
    <w:rsid w:val="00E833AD"/>
    <w:rsid w:val="00E909A6"/>
    <w:rsid w:val="00E95E43"/>
    <w:rsid w:val="00E96863"/>
    <w:rsid w:val="00EA16E6"/>
    <w:rsid w:val="00EA1DC1"/>
    <w:rsid w:val="00EA3CB5"/>
    <w:rsid w:val="00EA5441"/>
    <w:rsid w:val="00EA59C6"/>
    <w:rsid w:val="00EA5C30"/>
    <w:rsid w:val="00EA7CC3"/>
    <w:rsid w:val="00EB4A38"/>
    <w:rsid w:val="00EB64FF"/>
    <w:rsid w:val="00EB77A2"/>
    <w:rsid w:val="00EC1870"/>
    <w:rsid w:val="00EC1B8F"/>
    <w:rsid w:val="00EC4A9D"/>
    <w:rsid w:val="00EC5378"/>
    <w:rsid w:val="00EC5442"/>
    <w:rsid w:val="00EC6AB3"/>
    <w:rsid w:val="00EC71D9"/>
    <w:rsid w:val="00ED2307"/>
    <w:rsid w:val="00ED6259"/>
    <w:rsid w:val="00ED6843"/>
    <w:rsid w:val="00ED68BC"/>
    <w:rsid w:val="00EE0D79"/>
    <w:rsid w:val="00EE2124"/>
    <w:rsid w:val="00EE3576"/>
    <w:rsid w:val="00EE5977"/>
    <w:rsid w:val="00EE6045"/>
    <w:rsid w:val="00EE6A51"/>
    <w:rsid w:val="00EE7340"/>
    <w:rsid w:val="00EF11E2"/>
    <w:rsid w:val="00EF2291"/>
    <w:rsid w:val="00EF2B94"/>
    <w:rsid w:val="00EF2F11"/>
    <w:rsid w:val="00EF3C2D"/>
    <w:rsid w:val="00EF4B6C"/>
    <w:rsid w:val="00EF6792"/>
    <w:rsid w:val="00EF6F67"/>
    <w:rsid w:val="00F003D7"/>
    <w:rsid w:val="00F05CBA"/>
    <w:rsid w:val="00F06260"/>
    <w:rsid w:val="00F07DF1"/>
    <w:rsid w:val="00F07FA6"/>
    <w:rsid w:val="00F10A94"/>
    <w:rsid w:val="00F10B74"/>
    <w:rsid w:val="00F11CFE"/>
    <w:rsid w:val="00F12E95"/>
    <w:rsid w:val="00F13309"/>
    <w:rsid w:val="00F1338C"/>
    <w:rsid w:val="00F13483"/>
    <w:rsid w:val="00F13C52"/>
    <w:rsid w:val="00F15562"/>
    <w:rsid w:val="00F15C18"/>
    <w:rsid w:val="00F167FA"/>
    <w:rsid w:val="00F17EE7"/>
    <w:rsid w:val="00F21A3A"/>
    <w:rsid w:val="00F243D6"/>
    <w:rsid w:val="00F24662"/>
    <w:rsid w:val="00F25111"/>
    <w:rsid w:val="00F27109"/>
    <w:rsid w:val="00F32632"/>
    <w:rsid w:val="00F32C10"/>
    <w:rsid w:val="00F349F9"/>
    <w:rsid w:val="00F35EB9"/>
    <w:rsid w:val="00F4403D"/>
    <w:rsid w:val="00F44E3E"/>
    <w:rsid w:val="00F51C1E"/>
    <w:rsid w:val="00F52A99"/>
    <w:rsid w:val="00F55366"/>
    <w:rsid w:val="00F56972"/>
    <w:rsid w:val="00F57A98"/>
    <w:rsid w:val="00F63CB7"/>
    <w:rsid w:val="00F70A9D"/>
    <w:rsid w:val="00F70EAB"/>
    <w:rsid w:val="00F72B2E"/>
    <w:rsid w:val="00F73D2C"/>
    <w:rsid w:val="00F74B6B"/>
    <w:rsid w:val="00F75E8B"/>
    <w:rsid w:val="00F80902"/>
    <w:rsid w:val="00F829F3"/>
    <w:rsid w:val="00F836EE"/>
    <w:rsid w:val="00F84A55"/>
    <w:rsid w:val="00F859BD"/>
    <w:rsid w:val="00F85B55"/>
    <w:rsid w:val="00F87183"/>
    <w:rsid w:val="00F921AA"/>
    <w:rsid w:val="00F92757"/>
    <w:rsid w:val="00F94076"/>
    <w:rsid w:val="00F94E6C"/>
    <w:rsid w:val="00F97DAA"/>
    <w:rsid w:val="00FA3DFC"/>
    <w:rsid w:val="00FA62AF"/>
    <w:rsid w:val="00FA64FC"/>
    <w:rsid w:val="00FA7A2B"/>
    <w:rsid w:val="00FB1EE0"/>
    <w:rsid w:val="00FB59E9"/>
    <w:rsid w:val="00FB5FCD"/>
    <w:rsid w:val="00FC16F2"/>
    <w:rsid w:val="00FC190F"/>
    <w:rsid w:val="00FC2A81"/>
    <w:rsid w:val="00FC3CE3"/>
    <w:rsid w:val="00FC711B"/>
    <w:rsid w:val="00FD29B9"/>
    <w:rsid w:val="00FD308D"/>
    <w:rsid w:val="00FD4067"/>
    <w:rsid w:val="00FD418A"/>
    <w:rsid w:val="00FD4572"/>
    <w:rsid w:val="00FE03EF"/>
    <w:rsid w:val="00FE179A"/>
    <w:rsid w:val="00FE3A7C"/>
    <w:rsid w:val="00FE40CD"/>
    <w:rsid w:val="00FE451D"/>
    <w:rsid w:val="00FE5D05"/>
    <w:rsid w:val="00FE65D0"/>
    <w:rsid w:val="00FE6E44"/>
    <w:rsid w:val="00FF1793"/>
    <w:rsid w:val="00FF22ED"/>
    <w:rsid w:val="00FF3CCC"/>
    <w:rsid w:val="00FF42A8"/>
    <w:rsid w:val="00FF4A4B"/>
    <w:rsid w:val="00FF6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FCA528"/>
  <w15:docId w15:val="{26524BBB-5D32-4A33-A6E4-3F20285B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A62AF"/>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A62AF"/>
    <w:pPr>
      <w:spacing w:after="0"/>
    </w:pPr>
  </w:style>
  <w:style w:type="paragraph" w:styleId="ListBullet">
    <w:name w:val="List Bullet"/>
    <w:basedOn w:val="Normal"/>
    <w:uiPriority w:val="99"/>
    <w:semiHidden/>
    <w:unhideWhenUsed/>
    <w:rsid w:val="00FA62AF"/>
    <w:pPr>
      <w:numPr>
        <w:numId w:val="1"/>
      </w:numPr>
      <w:contextualSpacing/>
    </w:pPr>
  </w:style>
  <w:style w:type="paragraph" w:styleId="ListBullet2">
    <w:name w:val="List Bullet 2"/>
    <w:basedOn w:val="Normal"/>
    <w:uiPriority w:val="99"/>
    <w:semiHidden/>
    <w:unhideWhenUsed/>
    <w:rsid w:val="00FA62AF"/>
    <w:pPr>
      <w:numPr>
        <w:numId w:val="2"/>
      </w:numPr>
      <w:contextualSpacing/>
    </w:pPr>
  </w:style>
  <w:style w:type="paragraph" w:styleId="ListBullet3">
    <w:name w:val="List Bullet 3"/>
    <w:basedOn w:val="Normal"/>
    <w:uiPriority w:val="99"/>
    <w:semiHidden/>
    <w:unhideWhenUsed/>
    <w:rsid w:val="00FA62AF"/>
    <w:pPr>
      <w:numPr>
        <w:numId w:val="3"/>
      </w:numPr>
      <w:contextualSpacing/>
    </w:pPr>
  </w:style>
  <w:style w:type="paragraph" w:styleId="ListBullet4">
    <w:name w:val="List Bullet 4"/>
    <w:basedOn w:val="Normal"/>
    <w:uiPriority w:val="99"/>
    <w:semiHidden/>
    <w:unhideWhenUsed/>
    <w:rsid w:val="00FA62AF"/>
    <w:pPr>
      <w:numPr>
        <w:numId w:val="4"/>
      </w:numPr>
      <w:contextualSpacing/>
    </w:pPr>
  </w:style>
  <w:style w:type="paragraph" w:styleId="ListNumber">
    <w:name w:val="List Number"/>
    <w:basedOn w:val="Normal"/>
    <w:uiPriority w:val="99"/>
    <w:semiHidden/>
    <w:unhideWhenUsed/>
    <w:rsid w:val="00FA62AF"/>
    <w:pPr>
      <w:numPr>
        <w:numId w:val="5"/>
      </w:numPr>
      <w:contextualSpacing/>
    </w:pPr>
  </w:style>
  <w:style w:type="paragraph" w:styleId="ListNumber2">
    <w:name w:val="List Number 2"/>
    <w:basedOn w:val="Normal"/>
    <w:uiPriority w:val="99"/>
    <w:semiHidden/>
    <w:unhideWhenUsed/>
    <w:rsid w:val="00FA62AF"/>
    <w:pPr>
      <w:numPr>
        <w:numId w:val="6"/>
      </w:numPr>
      <w:contextualSpacing/>
    </w:pPr>
  </w:style>
  <w:style w:type="paragraph" w:styleId="ListNumber3">
    <w:name w:val="List Number 3"/>
    <w:basedOn w:val="Normal"/>
    <w:uiPriority w:val="99"/>
    <w:semiHidden/>
    <w:unhideWhenUsed/>
    <w:rsid w:val="00FA62AF"/>
    <w:pPr>
      <w:numPr>
        <w:numId w:val="7"/>
      </w:numPr>
      <w:contextualSpacing/>
    </w:pPr>
  </w:style>
  <w:style w:type="paragraph" w:styleId="ListNumber4">
    <w:name w:val="List Number 4"/>
    <w:basedOn w:val="Normal"/>
    <w:uiPriority w:val="99"/>
    <w:semiHidden/>
    <w:unhideWhenUsed/>
    <w:rsid w:val="00FA62AF"/>
    <w:pPr>
      <w:numPr>
        <w:numId w:val="8"/>
      </w:numPr>
      <w:contextualSpacing/>
    </w:pPr>
  </w:style>
  <w:style w:type="character" w:styleId="CommentReference">
    <w:name w:val="annotation reference"/>
    <w:basedOn w:val="DefaultParagraphFont"/>
    <w:uiPriority w:val="99"/>
    <w:semiHidden/>
    <w:unhideWhenUsed/>
    <w:rsid w:val="00820F64"/>
    <w:rPr>
      <w:sz w:val="16"/>
      <w:szCs w:val="16"/>
    </w:rPr>
  </w:style>
  <w:style w:type="paragraph" w:styleId="CommentText">
    <w:name w:val="annotation text"/>
    <w:basedOn w:val="Normal"/>
    <w:link w:val="CommentTextChar"/>
    <w:uiPriority w:val="99"/>
    <w:unhideWhenUsed/>
    <w:rsid w:val="00820F64"/>
    <w:rPr>
      <w:sz w:val="20"/>
      <w:szCs w:val="20"/>
    </w:rPr>
  </w:style>
  <w:style w:type="character" w:customStyle="1" w:styleId="CommentTextChar">
    <w:name w:val="Comment Text Char"/>
    <w:basedOn w:val="DefaultParagraphFont"/>
    <w:link w:val="CommentText"/>
    <w:uiPriority w:val="99"/>
    <w:rsid w:val="00820F6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F64"/>
    <w:rPr>
      <w:b/>
      <w:bCs/>
    </w:rPr>
  </w:style>
  <w:style w:type="character" w:customStyle="1" w:styleId="CommentSubjectChar">
    <w:name w:val="Comment Subject Char"/>
    <w:basedOn w:val="CommentTextChar"/>
    <w:link w:val="CommentSubject"/>
    <w:uiPriority w:val="99"/>
    <w:semiHidden/>
    <w:rsid w:val="00820F64"/>
    <w:rPr>
      <w:rFonts w:ascii="Times New Roman" w:hAnsi="Times New Roman" w:cs="Times New Roman"/>
      <w:b/>
      <w:bCs/>
      <w:sz w:val="20"/>
      <w:szCs w:val="20"/>
      <w:lang w:val="en-GB"/>
    </w:rPr>
  </w:style>
  <w:style w:type="character" w:styleId="Hyperlink">
    <w:name w:val="Hyperlink"/>
    <w:basedOn w:val="DefaultParagraphFont"/>
    <w:uiPriority w:val="99"/>
    <w:unhideWhenUsed/>
    <w:rsid w:val="00820F64"/>
    <w:rPr>
      <w:color w:val="0000FF" w:themeColor="hyperlink"/>
      <w:u w:val="single"/>
    </w:rPr>
  </w:style>
  <w:style w:type="paragraph" w:styleId="BalloonText">
    <w:name w:val="Balloon Text"/>
    <w:basedOn w:val="Normal"/>
    <w:link w:val="BalloonTextChar"/>
    <w:uiPriority w:val="99"/>
    <w:semiHidden/>
    <w:unhideWhenUsed/>
    <w:rsid w:val="00820F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64"/>
    <w:rPr>
      <w:rFonts w:ascii="Tahoma" w:hAnsi="Tahoma" w:cs="Tahoma"/>
      <w:sz w:val="16"/>
      <w:szCs w:val="16"/>
      <w:lang w:val="en-GB"/>
    </w:rPr>
  </w:style>
  <w:style w:type="paragraph" w:customStyle="1" w:styleId="Default">
    <w:name w:val="Default"/>
    <w:rsid w:val="001752FD"/>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1752FD"/>
    <w:rPr>
      <w:rFonts w:cstheme="minorBidi"/>
      <w:color w:val="auto"/>
    </w:rPr>
  </w:style>
  <w:style w:type="paragraph" w:customStyle="1" w:styleId="CM3">
    <w:name w:val="CM3"/>
    <w:basedOn w:val="Default"/>
    <w:next w:val="Default"/>
    <w:uiPriority w:val="99"/>
    <w:rsid w:val="001752FD"/>
    <w:rPr>
      <w:rFonts w:cstheme="minorBidi"/>
      <w:color w:val="auto"/>
    </w:rPr>
  </w:style>
  <w:style w:type="paragraph" w:styleId="Revision">
    <w:name w:val="Revision"/>
    <w:hidden/>
    <w:uiPriority w:val="99"/>
    <w:semiHidden/>
    <w:rsid w:val="00AF3EAD"/>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AF3303"/>
    <w:rPr>
      <w:color w:val="800080" w:themeColor="followedHyperlink"/>
      <w:u w:val="single"/>
    </w:rPr>
  </w:style>
  <w:style w:type="paragraph" w:styleId="EndnoteText">
    <w:name w:val="endnote text"/>
    <w:basedOn w:val="Normal"/>
    <w:link w:val="EndnoteTextChar"/>
    <w:uiPriority w:val="99"/>
    <w:semiHidden/>
    <w:unhideWhenUsed/>
    <w:rsid w:val="00037672"/>
    <w:pPr>
      <w:spacing w:before="0" w:after="0"/>
    </w:pPr>
    <w:rPr>
      <w:sz w:val="20"/>
      <w:szCs w:val="20"/>
    </w:rPr>
  </w:style>
  <w:style w:type="character" w:customStyle="1" w:styleId="EndnoteTextChar">
    <w:name w:val="Endnote Text Char"/>
    <w:basedOn w:val="DefaultParagraphFont"/>
    <w:link w:val="EndnoteText"/>
    <w:uiPriority w:val="99"/>
    <w:semiHidden/>
    <w:rsid w:val="0003767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37672"/>
    <w:rPr>
      <w:vertAlign w:val="superscript"/>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customStyle="1" w:styleId="BulletedList1-usermanual">
    <w:name w:val="Bulleted List 1 - user manual"/>
    <w:basedOn w:val="Normal"/>
    <w:rsid w:val="001B63B4"/>
    <w:pPr>
      <w:numPr>
        <w:numId w:val="10"/>
      </w:numPr>
      <w:spacing w:before="0" w:after="0" w:line="360" w:lineRule="auto"/>
      <w:jc w:val="left"/>
    </w:pPr>
    <w:rPr>
      <w:rFonts w:ascii="Calibri" w:hAnsi="Calibri" w:cs="Calibri"/>
      <w:sz w:val="22"/>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5"/>
      </w:numPr>
    </w:pPr>
  </w:style>
  <w:style w:type="paragraph" w:customStyle="1" w:styleId="Tiret1">
    <w:name w:val="Tiret 1"/>
    <w:basedOn w:val="Point1"/>
    <w:rsid w:val="009B7138"/>
    <w:pPr>
      <w:numPr>
        <w:numId w:val="26"/>
      </w:numPr>
    </w:pPr>
  </w:style>
  <w:style w:type="paragraph" w:customStyle="1" w:styleId="Tiret2">
    <w:name w:val="Tiret 2"/>
    <w:basedOn w:val="Point2"/>
    <w:rsid w:val="009B7138"/>
    <w:pPr>
      <w:numPr>
        <w:numId w:val="27"/>
      </w:numPr>
    </w:pPr>
  </w:style>
  <w:style w:type="paragraph" w:customStyle="1" w:styleId="Tiret3">
    <w:name w:val="Tiret 3"/>
    <w:basedOn w:val="Point3"/>
    <w:rsid w:val="009B7138"/>
    <w:pPr>
      <w:numPr>
        <w:numId w:val="28"/>
      </w:numPr>
    </w:pPr>
  </w:style>
  <w:style w:type="paragraph" w:customStyle="1" w:styleId="Tiret4">
    <w:name w:val="Tiret 4"/>
    <w:basedOn w:val="Point4"/>
    <w:rsid w:val="009B7138"/>
    <w:pPr>
      <w:numPr>
        <w:numId w:val="29"/>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0"/>
      </w:numPr>
    </w:pPr>
  </w:style>
  <w:style w:type="paragraph" w:customStyle="1" w:styleId="NumPar2">
    <w:name w:val="NumPar 2"/>
    <w:basedOn w:val="Normal"/>
    <w:next w:val="Text1"/>
    <w:rsid w:val="009B7138"/>
    <w:pPr>
      <w:numPr>
        <w:ilvl w:val="1"/>
        <w:numId w:val="30"/>
      </w:numPr>
    </w:pPr>
  </w:style>
  <w:style w:type="paragraph" w:customStyle="1" w:styleId="NumPar3">
    <w:name w:val="NumPar 3"/>
    <w:basedOn w:val="Normal"/>
    <w:next w:val="Text1"/>
    <w:rsid w:val="009B7138"/>
    <w:pPr>
      <w:numPr>
        <w:ilvl w:val="2"/>
        <w:numId w:val="30"/>
      </w:numPr>
    </w:pPr>
  </w:style>
  <w:style w:type="paragraph" w:customStyle="1" w:styleId="NumPar4">
    <w:name w:val="NumPar 4"/>
    <w:basedOn w:val="Normal"/>
    <w:next w:val="Text1"/>
    <w:rsid w:val="009B7138"/>
    <w:pPr>
      <w:numPr>
        <w:ilvl w:val="3"/>
        <w:numId w:val="30"/>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2"/>
      </w:numPr>
    </w:pPr>
  </w:style>
  <w:style w:type="paragraph" w:customStyle="1" w:styleId="Point1number">
    <w:name w:val="Point 1 (number)"/>
    <w:basedOn w:val="Normal"/>
    <w:rsid w:val="009B7138"/>
    <w:pPr>
      <w:numPr>
        <w:ilvl w:val="2"/>
        <w:numId w:val="32"/>
      </w:numPr>
    </w:pPr>
  </w:style>
  <w:style w:type="paragraph" w:customStyle="1" w:styleId="Point2number">
    <w:name w:val="Point 2 (number)"/>
    <w:basedOn w:val="Normal"/>
    <w:rsid w:val="009B7138"/>
    <w:pPr>
      <w:numPr>
        <w:ilvl w:val="4"/>
        <w:numId w:val="32"/>
      </w:numPr>
    </w:pPr>
  </w:style>
  <w:style w:type="paragraph" w:customStyle="1" w:styleId="Point3number">
    <w:name w:val="Point 3 (number)"/>
    <w:basedOn w:val="Normal"/>
    <w:rsid w:val="009B7138"/>
    <w:pPr>
      <w:numPr>
        <w:ilvl w:val="6"/>
        <w:numId w:val="32"/>
      </w:numPr>
    </w:pPr>
  </w:style>
  <w:style w:type="paragraph" w:customStyle="1" w:styleId="Point0letter">
    <w:name w:val="Point 0 (letter)"/>
    <w:basedOn w:val="Normal"/>
    <w:rsid w:val="009B7138"/>
    <w:pPr>
      <w:numPr>
        <w:ilvl w:val="1"/>
        <w:numId w:val="32"/>
      </w:numPr>
    </w:pPr>
  </w:style>
  <w:style w:type="paragraph" w:customStyle="1" w:styleId="Point1letter">
    <w:name w:val="Point 1 (letter)"/>
    <w:basedOn w:val="Normal"/>
    <w:rsid w:val="009B7138"/>
    <w:pPr>
      <w:numPr>
        <w:ilvl w:val="3"/>
        <w:numId w:val="32"/>
      </w:numPr>
    </w:pPr>
  </w:style>
  <w:style w:type="paragraph" w:customStyle="1" w:styleId="Point2letter">
    <w:name w:val="Point 2 (letter)"/>
    <w:basedOn w:val="Normal"/>
    <w:rsid w:val="009B7138"/>
    <w:pPr>
      <w:numPr>
        <w:ilvl w:val="5"/>
        <w:numId w:val="32"/>
      </w:numPr>
    </w:pPr>
  </w:style>
  <w:style w:type="paragraph" w:customStyle="1" w:styleId="Point3letter">
    <w:name w:val="Point 3 (letter)"/>
    <w:basedOn w:val="Normal"/>
    <w:rsid w:val="009B7138"/>
    <w:pPr>
      <w:numPr>
        <w:ilvl w:val="7"/>
        <w:numId w:val="32"/>
      </w:numPr>
    </w:pPr>
  </w:style>
  <w:style w:type="paragraph" w:customStyle="1" w:styleId="Point4letter">
    <w:name w:val="Point 4 (letter)"/>
    <w:basedOn w:val="Normal"/>
    <w:rsid w:val="009B7138"/>
    <w:pPr>
      <w:numPr>
        <w:ilvl w:val="8"/>
        <w:numId w:val="32"/>
      </w:numPr>
    </w:pPr>
  </w:style>
  <w:style w:type="paragraph" w:customStyle="1" w:styleId="Bullet0">
    <w:name w:val="Bullet 0"/>
    <w:basedOn w:val="Normal"/>
    <w:rsid w:val="009B7138"/>
    <w:pPr>
      <w:numPr>
        <w:numId w:val="33"/>
      </w:numPr>
    </w:pPr>
  </w:style>
  <w:style w:type="paragraph" w:customStyle="1" w:styleId="Bullet1">
    <w:name w:val="Bullet 1"/>
    <w:basedOn w:val="Normal"/>
    <w:rsid w:val="009B7138"/>
    <w:pPr>
      <w:numPr>
        <w:numId w:val="34"/>
      </w:numPr>
    </w:pPr>
  </w:style>
  <w:style w:type="paragraph" w:customStyle="1" w:styleId="Bullet2">
    <w:name w:val="Bullet 2"/>
    <w:basedOn w:val="Normal"/>
    <w:rsid w:val="009B7138"/>
    <w:pPr>
      <w:numPr>
        <w:numId w:val="35"/>
      </w:numPr>
    </w:pPr>
  </w:style>
  <w:style w:type="paragraph" w:customStyle="1" w:styleId="Bullet3">
    <w:name w:val="Bullet 3"/>
    <w:basedOn w:val="Normal"/>
    <w:rsid w:val="009B7138"/>
    <w:pPr>
      <w:numPr>
        <w:numId w:val="36"/>
      </w:numPr>
    </w:pPr>
  </w:style>
  <w:style w:type="paragraph" w:customStyle="1" w:styleId="Bullet4">
    <w:name w:val="Bullet 4"/>
    <w:basedOn w:val="Normal"/>
    <w:rsid w:val="009B7138"/>
    <w:pPr>
      <w:numPr>
        <w:numId w:val="37"/>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8"/>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99371">
      <w:bodyDiv w:val="1"/>
      <w:marLeft w:val="0"/>
      <w:marRight w:val="0"/>
      <w:marTop w:val="0"/>
      <w:marBottom w:val="0"/>
      <w:divBdr>
        <w:top w:val="none" w:sz="0" w:space="0" w:color="auto"/>
        <w:left w:val="none" w:sz="0" w:space="0" w:color="auto"/>
        <w:bottom w:val="none" w:sz="0" w:space="0" w:color="auto"/>
        <w:right w:val="none" w:sz="0" w:space="0" w:color="auto"/>
      </w:divBdr>
    </w:div>
    <w:div w:id="1530993299">
      <w:bodyDiv w:val="1"/>
      <w:marLeft w:val="0"/>
      <w:marRight w:val="0"/>
      <w:marTop w:val="0"/>
      <w:marBottom w:val="0"/>
      <w:divBdr>
        <w:top w:val="none" w:sz="0" w:space="0" w:color="auto"/>
        <w:left w:val="none" w:sz="0" w:space="0" w:color="auto"/>
        <w:bottom w:val="none" w:sz="0" w:space="0" w:color="auto"/>
        <w:right w:val="none" w:sz="0" w:space="0" w:color="auto"/>
      </w:divBdr>
    </w:div>
    <w:div w:id="1763987174">
      <w:bodyDiv w:val="1"/>
      <w:marLeft w:val="0"/>
      <w:marRight w:val="0"/>
      <w:marTop w:val="0"/>
      <w:marBottom w:val="0"/>
      <w:divBdr>
        <w:top w:val="none" w:sz="0" w:space="0" w:color="auto"/>
        <w:left w:val="none" w:sz="0" w:space="0" w:color="auto"/>
        <w:bottom w:val="none" w:sz="0" w:space="0" w:color="auto"/>
        <w:right w:val="none" w:sz="0" w:space="0" w:color="auto"/>
      </w:divBdr>
      <w:divsChild>
        <w:div w:id="2108304801">
          <w:marLeft w:val="240"/>
          <w:marRight w:val="0"/>
          <w:marTop w:val="0"/>
          <w:marBottom w:val="0"/>
          <w:divBdr>
            <w:top w:val="none" w:sz="0" w:space="0" w:color="auto"/>
            <w:left w:val="none" w:sz="0" w:space="0" w:color="auto"/>
            <w:bottom w:val="none" w:sz="0" w:space="0" w:color="auto"/>
            <w:right w:val="none" w:sz="0" w:space="0" w:color="auto"/>
          </w:divBdr>
        </w:div>
        <w:div w:id="130951273">
          <w:marLeft w:val="240"/>
          <w:marRight w:val="0"/>
          <w:marTop w:val="0"/>
          <w:marBottom w:val="0"/>
          <w:divBdr>
            <w:top w:val="none" w:sz="0" w:space="0" w:color="auto"/>
            <w:left w:val="none" w:sz="0" w:space="0" w:color="auto"/>
            <w:bottom w:val="none" w:sz="0" w:space="0" w:color="auto"/>
            <w:right w:val="none" w:sz="0" w:space="0" w:color="auto"/>
          </w:divBdr>
        </w:div>
      </w:divsChild>
    </w:div>
    <w:div w:id="2062288621">
      <w:bodyDiv w:val="1"/>
      <w:marLeft w:val="0"/>
      <w:marRight w:val="0"/>
      <w:marTop w:val="0"/>
      <w:marBottom w:val="0"/>
      <w:divBdr>
        <w:top w:val="none" w:sz="0" w:space="0" w:color="auto"/>
        <w:left w:val="none" w:sz="0" w:space="0" w:color="auto"/>
        <w:bottom w:val="none" w:sz="0" w:space="0" w:color="auto"/>
        <w:right w:val="none" w:sz="0" w:space="0" w:color="auto"/>
      </w:divBdr>
    </w:div>
    <w:div w:id="2132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13641/lead_ammunition_investigation_report_en.pdf" TargetMode="External"/><Relationship Id="rId2" Type="http://schemas.openxmlformats.org/officeDocument/2006/relationships/hyperlink" Target="https://echa.europa.eu/documents/10162/6ef877d5-94b7-a8f8-1c49-8c07c894fff7" TargetMode="External"/><Relationship Id="rId1" Type="http://schemas.openxmlformats.org/officeDocument/2006/relationships/hyperlink" Target="https://www.unep-aewa.org/sites/default/files/basic_page_documents/agreement_text_english_final.pdf" TargetMode="External"/><Relationship Id="rId4" Type="http://schemas.openxmlformats.org/officeDocument/2006/relationships/hyperlink" Target="https://echa.europa.eu/documents/10162/13641/rest_lead_ammunition_COM_request_en.pdf/f607c957-807a-3b7c-07ae-01151001d9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C749-6CA4-4F12-9749-7921952A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3037</Words>
  <Characters>15916</Characters>
  <Application>Microsoft Office Word</Application>
  <DocSecurity>0</DocSecurity>
  <Lines>252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STEFDES</dc:creator>
  <cp:lastModifiedBy>LAZARICA Andreea (GROW)</cp:lastModifiedBy>
  <cp:revision>3</cp:revision>
  <cp:lastPrinted>2019-07-26T07:17:00Z</cp:lastPrinted>
  <dcterms:created xsi:type="dcterms:W3CDTF">2019-10-30T10:33:00Z</dcterms:created>
  <dcterms:modified xsi:type="dcterms:W3CDTF">2019-10-30T10:33:00Z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_DocHome">
    <vt:i4>321642613</vt:i4>
  </property>
  <property fmtid="{D5CDD505-2E9C-101B-9397-08002B2CF9AE}" pid="12" name="DQCStatus">
    <vt:lpwstr>Green (DQC version 03)</vt:lpwstr>
  </property>
</Properties>
</file>